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highlight w:val="yellow"/>
          <w:u w:val="none"/>
          <w:vertAlign w:val="baseline"/>
        </w:rPr>
      </w:pPr>
      <w:r w:rsidDel="00000000" w:rsidR="00000000" w:rsidRPr="00000000">
        <w:rPr>
          <w:rFonts w:ascii="Arial" w:cs="Arial" w:eastAsia="Arial" w:hAnsi="Arial"/>
          <w:i w:val="1"/>
          <w:iCs w:val="1"/>
          <w:color w:val="262626"/>
          <w:sz w:val="20"/>
          <w:szCs w:val="20"/>
          <w:highlight w:val="yellow"/>
        </w:rPr>
        <w:drawing>
          <wp:anchor allowOverlap="1" behindDoc="0" distB="114300" distT="114300" distL="114300" distR="114300" hidden="0" layoutInCell="1" locked="0" relativeHeight="0" simplePos="0">
            <wp:simplePos x="0" y="0"/>
            <wp:positionH relativeFrom="page">
              <wp:posOffset>4843568</wp:posOffset>
            </wp:positionH>
            <wp:positionV relativeFrom="page">
              <wp:posOffset>291465</wp:posOffset>
            </wp:positionV>
            <wp:extent cx="2453217" cy="904875"/>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53217" cy="904875"/>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-972184</wp:posOffset>
            </wp:positionH>
            <wp:positionV relativeFrom="paragraph">
              <wp:posOffset>-723264</wp:posOffset>
            </wp:positionV>
            <wp:extent cx="7823835" cy="16795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23835" cy="1679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-329245</wp:posOffset>
                </wp:positionH>
                <wp:positionV relativeFrom="paragraph">
                  <wp:posOffset>-334326</wp:posOffset>
                </wp:positionV>
                <wp:extent cx="3752850" cy="902970"/>
                <wp:effectExtent b="0" l="0" r="0" t="0"/>
                <wp:wrapNone/>
                <wp:docPr id="2" name=""/>
                <a:graphic>
                  <a:graphicData uri="http://schemas.microsoft.com/office/word/2010/wordprocessingShape">
                    <wps:wsp>
                      <wps:cNvSpPr/>
                      <wps:cNvPr id="3" name="Shape 3"/>
                      <wps:spPr>
                        <a:xfrm>
                          <a:off x="3474338" y="3333278"/>
                          <a:ext cx="3743325" cy="893445"/>
                        </a:xfrm>
                        <a:prstGeom prst="rect">
                          <a:avLst/>
                        </a:prstGeom>
                        <a:noFill/>
                        <a:ln>
                          <a:noFill/>
                        </a:ln>
                      </wps:spPr>
                      <wps:txbx>
                        <w:txbxContent>
                          <w:p w:rsidR="00000000" w:rsidDel="00000000" w:rsidP="00000000" w:rsidRDefault="00000000" w:rsidRPr="00000000">
                            <w:pPr>
                              <w:spacing w:after="20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Concessional Fee Program – Procedures</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-329245</wp:posOffset>
                </wp:positionH>
                <wp:positionV relativeFrom="paragraph">
                  <wp:posOffset>-334326</wp:posOffset>
                </wp:positionV>
                <wp:extent cx="3752850" cy="90297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752850" cy="902970"/>
                        </a:xfrm>
                        <a:prstGeom prst="rect"/>
                        <a:ln/>
                      </pic:spPr>
                    </pic:pic>
                  </a:graphicData>
                </a:graphic>
              </wp:anchor>
            </w:drawing>
          </mc:Fallback>
        </mc:AlternateContent>
      </w:r>
    </w:p>
    <w:p w:rsidR="00000000" w:rsidDel="00000000" w:rsidP="00000000" w:rsidRDefault="00000000" w:rsidRPr="00000000" w14:paraId="00000002">
      <w:pPr>
        <w:pStyle w:val="Heading2"/>
        <w:ind w:left="0" w:firstLine="0"/>
        <w:rPr>
          <w:b w:val="1"/>
          <w:bCs w:val="1"/>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These procedures outline the process for applications for concessional school fees in Melbourne Archdiocese Catholic Schools Ltd (MACS) primary schools.</w:t>
      </w:r>
      <w:r w:rsidDel="00000000" w:rsidR="00000000" w:rsidRPr="00000000">
        <w:rPr>
          <w:rtl w:val="0"/>
        </w:rPr>
      </w:r>
    </w:p>
    <w:p w:rsidR="00000000" w:rsidDel="00000000" w:rsidP="00000000" w:rsidRDefault="00000000" w:rsidRPr="00000000" w14:paraId="00000004">
      <w:pPr>
        <w:pStyle w:val="Heading2"/>
        <w:ind w:left="360" w:hanging="360"/>
        <w:rPr/>
      </w:pPr>
      <w:r w:rsidDel="00000000" w:rsidR="00000000" w:rsidRPr="00000000">
        <w:rPr>
          <w:rtl w:val="0"/>
        </w:rPr>
        <w:t xml:space="preserve">Purpose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bookmarkStart w:colFirst="0" w:colLast="0" w:name="_8141b6oi8k1" w:id="0"/>
      <w:bookmarkEnd w:id="0"/>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purpose is to set out the procedures for </w:t>
      </w:r>
      <w:r w:rsidDel="00000000" w:rsidR="00000000" w:rsidRPr="00000000">
        <w:rPr>
          <w:rFonts w:ascii="Arial" w:cs="Arial" w:eastAsia="Arial" w:hAnsi="Arial"/>
          <w:color w:val="262626"/>
          <w:sz w:val="20"/>
          <w:szCs w:val="20"/>
          <w:rtl w:val="0"/>
        </w:rPr>
        <w:t xml:space="preserve">granting</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fee concessions in MACS primary schools.</w:t>
      </w:r>
    </w:p>
    <w:p w:rsidR="00000000" w:rsidDel="00000000" w:rsidP="00000000" w:rsidRDefault="00000000" w:rsidRPr="00000000" w14:paraId="00000006">
      <w:pPr>
        <w:pStyle w:val="Heading2"/>
        <w:ind w:left="360" w:hanging="360"/>
        <w:rPr/>
      </w:pPr>
      <w:r w:rsidDel="00000000" w:rsidR="00000000" w:rsidRPr="00000000">
        <w:rPr>
          <w:rtl w:val="0"/>
        </w:rPr>
        <w:t xml:space="preserve">Procedures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Eligibility for Concessional School Fees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Families may qualify for concessional school fees if they meet any of the following criteria:</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General eligibility criteria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of Aboriginal or Torres Strait Islander heritage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holding Services Australia Health Care Cards (HCC) and eligible for Camps, Sport and Excursion Fund (CSEF)</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holding a Department of Veterans’ Affairs (DVA) Gold Card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identified as refugees holding </w:t>
      </w:r>
      <w:r w:rsidDel="00000000" w:rsidR="00000000" w:rsidRPr="00000000">
        <w:rPr>
          <w:rFonts w:ascii="Arial" w:cs="Arial" w:eastAsia="Arial" w:hAnsi="Arial"/>
          <w:color w:val="262626"/>
          <w:sz w:val="20"/>
          <w:szCs w:val="20"/>
          <w:rtl w:val="0"/>
        </w:rPr>
        <w:t xml:space="preserve">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Department of Home Affairs Proof of Identity card (ImmiCard)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refugees, where the child has attended a school within Australia for less than five years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experiencing genuine financial hardship (e.g., loss of family home, and/or loss of income through volunteering to fight bushfires, COVID-19 or illness and/or loss of livelihood/income caused by bushfires)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Special Medical Circumstances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Any family required to relocate their (Australian resident) child to St Michael’s Catholic Primary School, North Melbourne, due to the child requiring </w:t>
      </w:r>
      <w:r w:rsidDel="00000000" w:rsidR="00000000" w:rsidRPr="00000000">
        <w:rPr>
          <w:rFonts w:ascii="Arial" w:cs="Arial" w:eastAsia="Arial" w:hAnsi="Arial"/>
          <w:color w:val="262626"/>
          <w:sz w:val="20"/>
          <w:szCs w:val="20"/>
          <w:rtl w:val="0"/>
        </w:rPr>
        <w:t xml:space="preserve">long-term</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medical treatment at The Royal Children’s Hospital, Melbourne</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will be eligible for concessional student fees. </w:t>
      </w:r>
      <w:r w:rsidDel="00000000" w:rsidR="00000000" w:rsidRPr="00000000">
        <w:rPr>
          <w:rFonts w:ascii="Arial" w:cs="Arial" w:eastAsia="Arial" w:hAnsi="Arial"/>
          <w:color w:val="262626"/>
          <w:sz w:val="20"/>
          <w:szCs w:val="20"/>
          <w:rtl w:val="0"/>
        </w:rPr>
        <w:t xml:space="preserve">A pro rata</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concession is provided for part-year attendance. An annual statutory declaration is required to confirm eligibility.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color w:val="262626"/>
          <w:sz w:val="20"/>
          <w:szCs w:val="20"/>
          <w:rtl w:val="0"/>
        </w:rPr>
        <w:t xml:space="preserve">Home-schooled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students ( HSS): who attend a MACS primary school on a </w:t>
      </w:r>
      <w:r w:rsidDel="00000000" w:rsidR="00000000" w:rsidRPr="00000000">
        <w:rPr>
          <w:rFonts w:ascii="Arial" w:cs="Arial" w:eastAsia="Arial" w:hAnsi="Arial"/>
          <w:color w:val="262626"/>
          <w:sz w:val="20"/>
          <w:szCs w:val="20"/>
          <w:rtl w:val="0"/>
        </w:rPr>
        <w:t xml:space="preserve">part-time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basis, who meet any of the criteria detailed in 1.1 or 1.2</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are eligible for concessional student fees.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Ineligibility for Concessional School Fees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Full Fee-Paying Overseas Students (FFPOS) are ineligible for concessional school fees, as government funding is not available for these categories.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Concessional School Fees for Eligible Students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36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fees (including tuition fees and levies) for eligible students are subject to an annual review for reasonableness and ongoing suitability. The fee assessment is conducted by </w:t>
      </w:r>
      <w:r w:rsidDel="00000000" w:rsidR="00000000" w:rsidRPr="00000000">
        <w:rPr>
          <w:rFonts w:ascii="Arial" w:cs="Arial" w:eastAsia="Arial" w:hAnsi="Arial"/>
          <w:color w:val="262626"/>
          <w:sz w:val="20"/>
          <w:szCs w:val="20"/>
          <w:rtl w:val="0"/>
        </w:rPr>
        <w:t xml:space="preserve">the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General Manager, School Finance and approved by the Chief Financial Officer of Melbourne Archdiocese Catholic Schools. All MACS primary schools are required to comply with this assessment prior to setting fees.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36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Refer to the </w:t>
      </w: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current year’s concessional fees notice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for the applicable concessional fee information.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36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Application for Concessional School Fees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Applications for a concessional school fee must be made on </w:t>
      </w: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the </w:t>
      </w:r>
      <w:r w:rsidDel="00000000" w:rsidR="00000000" w:rsidRPr="00000000">
        <w:rPr>
          <w:rFonts w:ascii="Arial" w:cs="Arial" w:eastAsia="Arial" w:hAnsi="Arial"/>
          <w:sz w:val="20"/>
          <w:szCs w:val="20"/>
          <w:rtl w:val="0"/>
        </w:rPr>
        <w:t xml:space="preserve">school-approved</w:t>
      </w: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 form</w:t>
      </w: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and emailed to the school </w:t>
      </w:r>
      <w:r w:rsidDel="00000000" w:rsidR="00000000" w:rsidRPr="00000000">
        <w:rPr>
          <w:rFonts w:ascii="Arial" w:cs="Arial" w:eastAsia="Arial" w:hAnsi="Arial"/>
          <w:color w:val="262626"/>
          <w:sz w:val="20"/>
          <w:szCs w:val="20"/>
          <w:rtl w:val="0"/>
        </w:rPr>
        <w:t xml:space="preserve">each year before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the commencement of term 1 of the school year, except for families of Aboriginal or Torres Strait Islander heritage. These families are not required to reapply </w:t>
      </w:r>
      <w:r w:rsidDel="00000000" w:rsidR="00000000" w:rsidRPr="00000000">
        <w:rPr>
          <w:rFonts w:ascii="Arial" w:cs="Arial" w:eastAsia="Arial" w:hAnsi="Arial"/>
          <w:color w:val="262626"/>
          <w:sz w:val="20"/>
          <w:szCs w:val="20"/>
          <w:rtl w:val="0"/>
        </w:rPr>
        <w:t xml:space="preserve">after their initial application is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approved.</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Information provided in support of concessional school fee applications must be treated in the strictest confidence, in accordance with the MACS </w:t>
      </w:r>
      <w:hyperlink r:id="rId9">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Privacy Policy</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Approval </w:t>
      </w:r>
      <w:r w:rsidDel="00000000" w:rsidR="00000000" w:rsidRPr="00000000">
        <w:rPr>
          <w:rFonts w:ascii="Arial" w:cs="Arial" w:eastAsia="Arial" w:hAnsi="Arial"/>
          <w:b w:val="1"/>
          <w:bCs w:val="1"/>
          <w:color w:val="262626"/>
          <w:sz w:val="20"/>
          <w:szCs w:val="20"/>
          <w:rtl w:val="0"/>
        </w:rPr>
        <w:t xml:space="preserve">Process</w:t>
      </w: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 for Concessional School Fees Applications</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school principal is </w:t>
      </w:r>
      <w:r w:rsidDel="00000000" w:rsidR="00000000" w:rsidRPr="00000000">
        <w:rPr>
          <w:rFonts w:ascii="Arial" w:cs="Arial" w:eastAsia="Arial" w:hAnsi="Arial"/>
          <w:color w:val="262626"/>
          <w:sz w:val="20"/>
          <w:szCs w:val="20"/>
          <w:rtl w:val="0"/>
        </w:rPr>
        <w:t xml:space="preserve">authorised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to approve concessional school fees applications.</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principal’s approval or decline of concessional school fees applications should be retained in writing.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Successful Applications:</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color w:val="262626"/>
          <w:sz w:val="20"/>
          <w:szCs w:val="20"/>
          <w:rtl w:val="0"/>
        </w:rPr>
        <w:t xml:space="preserve">Upon approval of an application for concessional school fees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an automated payment plan must be established. Where applicable, the payment plan should be set up through CentrePay or via direct credit to the school.</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When invoicing families for concessional school fees, schools should issue invoices showing the full school fees and levies (excluding the Camp levy), along with a separate line for the fee remission, so that the total amount reflects the concessional school fee payable. The concession does not apply to the Camp levy.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Unsuccessful Applications: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color w:val="262626"/>
          <w:sz w:val="20"/>
          <w:szCs w:val="20"/>
          <w:rtl w:val="0"/>
        </w:rPr>
        <w:t xml:space="preserve">If</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 family applies for but does not meet the eligibility threshold for a school fee reduction, the school may consider establishing an appropriate payment plan with the family.</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Concessional Fees Applicable to Split Families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hanging="54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For Split Families, invoicing arrangements will align with the parenting court order. Separate debtor accounts may only be established where a parenting court order explicitly requires split payments.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hanging="54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concessional fee criteria will apply to each account </w:t>
      </w:r>
      <w:r w:rsidDel="00000000" w:rsidR="00000000" w:rsidRPr="00000000">
        <w:rPr>
          <w:rFonts w:ascii="Arial" w:cs="Arial" w:eastAsia="Arial" w:hAnsi="Arial"/>
          <w:color w:val="262626"/>
          <w:sz w:val="20"/>
          <w:szCs w:val="20"/>
          <w:rtl w:val="0"/>
        </w:rPr>
        <w:t xml:space="preserve">when</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split billing is in place.</w:t>
      </w:r>
    </w:p>
    <w:p w:rsidR="00000000" w:rsidDel="00000000" w:rsidP="00000000" w:rsidRDefault="00000000" w:rsidRPr="00000000" w14:paraId="00000027">
      <w:pPr>
        <w:pStyle w:val="Heading2"/>
        <w:rPr/>
      </w:pPr>
      <w:r w:rsidDel="00000000" w:rsidR="00000000" w:rsidRPr="00000000">
        <w:rPr>
          <w:rtl w:val="0"/>
        </w:rPr>
        <w:t xml:space="preserve">Definitions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0" w:right="0" w:firstLine="0"/>
        <w:jc w:val="left"/>
        <w:rPr>
          <w:rFonts w:ascii="Calibri" w:cs="Calibri" w:eastAsia="Calibri" w:hAnsi="Calibri"/>
          <w:b w:val="0"/>
          <w:bCs w:val="0"/>
          <w:i w:val="0"/>
          <w:iCs w:val="0"/>
          <w:smallCaps w:val="0"/>
          <w:strike w:val="0"/>
          <w:color w:val="595959"/>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Definitions of standard terms used in this Policy can be found in the </w:t>
      </w:r>
      <w:hyperlink r:id="rId10">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Glossary of Terms</w:t>
        </w:r>
      </w:hyperlink>
      <w:r w:rsidDel="00000000" w:rsidR="00000000" w:rsidRPr="00000000">
        <w:rPr>
          <w:rFonts w:ascii="Calibri" w:cs="Calibri" w:eastAsia="Calibri" w:hAnsi="Calibri"/>
          <w:b w:val="0"/>
          <w:bCs w:val="0"/>
          <w:i w:val="0"/>
          <w:iCs w:val="0"/>
          <w:smallCaps w:val="0"/>
          <w:strike w:val="0"/>
          <w:color w:val="595959"/>
          <w:sz w:val="21"/>
          <w:szCs w:val="21"/>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Camps, Sports and Excursion Fund (CSEF)</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Victorian Government funding for students of families who are eligible, </w:t>
      </w:r>
      <w:r w:rsidDel="00000000" w:rsidR="00000000" w:rsidRPr="00000000">
        <w:rPr>
          <w:rFonts w:ascii="Arial" w:cs="Arial" w:eastAsia="Arial" w:hAnsi="Arial"/>
          <w:color w:val="262626"/>
          <w:sz w:val="20"/>
          <w:szCs w:val="20"/>
          <w:rtl w:val="0"/>
        </w:rPr>
        <w:t xml:space="preserve">means-tested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Department of Human Services Concession Card (DHSCC) holders. CSEF is used to offset school fees or levies </w:t>
      </w:r>
      <w:r w:rsidDel="00000000" w:rsidR="00000000" w:rsidRPr="00000000">
        <w:rPr>
          <w:rFonts w:ascii="Arial" w:cs="Arial" w:eastAsia="Arial" w:hAnsi="Arial"/>
          <w:color w:val="262626"/>
          <w:sz w:val="20"/>
          <w:szCs w:val="20"/>
          <w:rtl w:val="0"/>
        </w:rPr>
        <w:t xml:space="preserve">for camps, sports,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and excursions.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CentrePay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free, voluntary service to pay bills and expenses as regular deductions from a client’s Centrelink payments.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Health Care Card (HCC)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Department of Human Services Health Care Card</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which entitles the </w:t>
      </w:r>
      <w:r w:rsidDel="00000000" w:rsidR="00000000" w:rsidRPr="00000000">
        <w:rPr>
          <w:rFonts w:ascii="Arial" w:cs="Arial" w:eastAsia="Arial" w:hAnsi="Arial"/>
          <w:color w:val="262626"/>
          <w:sz w:val="20"/>
          <w:szCs w:val="20"/>
          <w:rtl w:val="0"/>
        </w:rPr>
        <w:t xml:space="preserve">cardholder</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to receive Australian Government financial and other assistance.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Department of Veterans’ Affairs (DVA) Gold Card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Department of Veterans’ Affairs Health Card – All Conditions or Totally &amp; Permanently Incapacitated. Eligible </w:t>
      </w:r>
      <w:r w:rsidDel="00000000" w:rsidR="00000000" w:rsidRPr="00000000">
        <w:rPr>
          <w:rFonts w:ascii="Arial" w:cs="Arial" w:eastAsia="Arial" w:hAnsi="Arial"/>
          <w:color w:val="262626"/>
          <w:sz w:val="20"/>
          <w:szCs w:val="20"/>
          <w:rtl w:val="0"/>
        </w:rPr>
        <w:t xml:space="preserve">cardholders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are veterans and former members of the Australian Defence Force (ADF)</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their widow(er)s and dependants. Eligibility is determined by the </w:t>
      </w:r>
      <w:r w:rsidDel="00000000" w:rsidR="00000000" w:rsidRPr="00000000">
        <w:rPr>
          <w:rFonts w:ascii="Arial" w:cs="Arial" w:eastAsia="Arial" w:hAnsi="Arial"/>
          <w:color w:val="262626"/>
          <w:sz w:val="20"/>
          <w:szCs w:val="20"/>
          <w:rtl w:val="0"/>
        </w:rPr>
        <w:t xml:space="preserve">veteran's level of disability or the status of the veteran's dependents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as determined by the DVA.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62626"/>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62626"/>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Fee concession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remission or exemption from school fees payable because of financial hardship.</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Home school student (HSS)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w:t>
      </w:r>
      <w:r w:rsidDel="00000000" w:rsidR="00000000" w:rsidRPr="00000000">
        <w:rPr>
          <w:rFonts w:ascii="Arial" w:cs="Arial" w:eastAsia="Arial" w:hAnsi="Arial"/>
          <w:color w:val="262626"/>
          <w:sz w:val="20"/>
          <w:szCs w:val="20"/>
          <w:rtl w:val="0"/>
        </w:rPr>
        <w:t xml:space="preserve">home-schooled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student. </w:t>
      </w:r>
      <w:r w:rsidDel="00000000" w:rsidR="00000000" w:rsidRPr="00000000">
        <w:rPr>
          <w:rFonts w:ascii="Arial" w:cs="Arial" w:eastAsia="Arial" w:hAnsi="Arial"/>
          <w:color w:val="262626"/>
          <w:sz w:val="20"/>
          <w:szCs w:val="20"/>
          <w:rtl w:val="0"/>
        </w:rPr>
        <w:t xml:space="preserve">Home-schooled students who attend a Catholic primary school on a part-time basis are eligible to receive government funding for</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their education on a fractional, </w:t>
      </w:r>
      <w:r w:rsidDel="00000000" w:rsidR="00000000" w:rsidRPr="00000000">
        <w:rPr>
          <w:rFonts w:ascii="Arial" w:cs="Arial" w:eastAsia="Arial" w:hAnsi="Arial"/>
          <w:color w:val="262626"/>
          <w:sz w:val="20"/>
          <w:szCs w:val="20"/>
          <w:rtl w:val="0"/>
        </w:rPr>
        <w:t xml:space="preserve">full-time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equivalent basis.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Refugee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person who: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 a case where the person has a nationality, is outside the country of his or her nationality and, owing to a well-founded fear of persecution, is unable or unwilling to avail himself or herself of the protection of that country, or</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 a case where the person does not have a nationality, is outside the country of his or her former habitual residence and owing to a well-founded fear of persecution, is unable or unwilling to return to it. Refer Migration Act 1958 Sect 5H.</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Split Families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Families in which the parents or guardians of a child are separated or divorced.</w:t>
      </w:r>
    </w:p>
    <w:p w:rsidR="00000000" w:rsidDel="00000000" w:rsidP="00000000" w:rsidRDefault="00000000" w:rsidRPr="00000000" w14:paraId="0000003D">
      <w:pPr>
        <w:pStyle w:val="Heading2"/>
        <w:ind w:left="360" w:hanging="360"/>
        <w:rPr/>
      </w:pPr>
      <w:r w:rsidDel="00000000" w:rsidR="00000000" w:rsidRPr="00000000">
        <w:rPr>
          <w:rtl w:val="0"/>
        </w:rPr>
        <w:t xml:space="preserve">Related policies and documents</w:t>
      </w:r>
    </w:p>
    <w:p w:rsidR="00000000" w:rsidDel="00000000" w:rsidP="00000000" w:rsidRDefault="00000000" w:rsidRPr="00000000" w14:paraId="0000003E">
      <w:pPr>
        <w:pStyle w:val="Heading4"/>
        <w:rPr/>
      </w:pPr>
      <w:r w:rsidDel="00000000" w:rsidR="00000000" w:rsidRPr="00000000">
        <w:rPr>
          <w:rtl w:val="0"/>
        </w:rPr>
        <w:t xml:space="preserve">Supporting documents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 Program – Application Form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 Program – Letter to Applicant – Approved – Template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 Program – Letter to Applicant – Declined - Template </w:t>
      </w:r>
      <w:r w:rsidDel="00000000" w:rsidR="00000000" w:rsidRPr="00000000">
        <w:rPr>
          <w:rtl w:val="0"/>
        </w:rPr>
      </w:r>
    </w:p>
    <w:p w:rsidR="00000000" w:rsidDel="00000000" w:rsidP="00000000" w:rsidRDefault="00000000" w:rsidRPr="00000000" w14:paraId="00000042">
      <w:pPr>
        <w:pStyle w:val="Heading4"/>
        <w:rPr/>
      </w:pPr>
      <w:r w:rsidDel="00000000" w:rsidR="00000000" w:rsidRPr="00000000">
        <w:rPr>
          <w:rtl w:val="0"/>
        </w:rPr>
        <w:t xml:space="preserve">Related MACS policies and documents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Enrolment Policy for MACS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Privacy Policy</w:t>
        </w:r>
      </w:hyperlink>
      <w:r w:rsidDel="00000000" w:rsidR="00000000" w:rsidRPr="00000000">
        <w:rPr>
          <w:rtl w:val="0"/>
        </w:rPr>
      </w:r>
    </w:p>
    <w:p w:rsidR="00000000" w:rsidDel="00000000" w:rsidP="00000000" w:rsidRDefault="00000000" w:rsidRPr="00000000" w14:paraId="00000045">
      <w:pPr>
        <w:pStyle w:val="Heading4"/>
        <w:rPr/>
      </w:pPr>
      <w:r w:rsidDel="00000000" w:rsidR="00000000" w:rsidRPr="00000000">
        <w:rPr>
          <w:rtl w:val="0"/>
        </w:rPr>
        <w:t xml:space="preserve">Resources (external to MACS)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3">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Services Australia Health Care Cards (HCC)</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Department of Veterans’ Affairs (DVA) Gold Card</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5">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ImmiCard</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highlight w:val="yellow"/>
          <w:u w:val="none"/>
          <w:vertAlign w:val="baseline"/>
        </w:rPr>
      </w:pPr>
      <w:r w:rsidDel="00000000" w:rsidR="00000000" w:rsidRPr="00000000">
        <w:rPr>
          <w:rFonts w:ascii="Arial" w:cs="Arial" w:eastAsia="Arial" w:hAnsi="Arial"/>
          <w:color w:val="0563c1"/>
          <w:sz w:val="20"/>
          <w:szCs w:val="20"/>
          <w:u w:val="single"/>
          <w:rtl w:val="0"/>
        </w:rPr>
        <w:t xml:space="preserve">Home-schooled</w:t>
      </w:r>
      <w:hyperlink r:id="rId16">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 students (HSS)</w:t>
        </w:r>
      </w:hyperlink>
      <w:r w:rsidDel="00000000" w:rsidR="00000000" w:rsidRPr="00000000">
        <w:rPr>
          <w:rtl w:val="0"/>
        </w:rPr>
      </w:r>
    </w:p>
    <w:p w:rsidR="00000000" w:rsidDel="00000000" w:rsidP="00000000" w:rsidRDefault="00000000" w:rsidRPr="00000000" w14:paraId="0000004A">
      <w:pPr>
        <w:pStyle w:val="Heading2"/>
        <w:ind w:left="360" w:hanging="360"/>
        <w:rPr/>
      </w:pPr>
      <w:r w:rsidDel="00000000" w:rsidR="00000000" w:rsidRPr="00000000">
        <w:rPr>
          <w:rtl w:val="0"/>
        </w:rPr>
        <w:t xml:space="preserve">Legislation and standards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Migration Act 1958 </w:t>
      </w:r>
      <w:r w:rsidDel="00000000" w:rsidR="00000000" w:rsidRPr="00000000">
        <w:rPr>
          <w:rFonts w:ascii="Arial" w:cs="Arial" w:eastAsia="Arial" w:hAnsi="Arial"/>
          <w:i w:val="1"/>
          <w:iCs w:val="1"/>
          <w:color w:val="262626"/>
          <w:sz w:val="20"/>
          <w:szCs w:val="20"/>
          <w:rtl w:val="0"/>
        </w:rPr>
        <w:t xml:space="preserve">Section</w:t>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 5H</w:t>
      </w:r>
      <w:r w:rsidDel="00000000" w:rsidR="00000000" w:rsidRPr="00000000">
        <w:rPr>
          <w:rtl w:val="0"/>
        </w:rPr>
      </w:r>
    </w:p>
    <w:p w:rsidR="00000000" w:rsidDel="00000000" w:rsidP="00000000" w:rsidRDefault="00000000" w:rsidRPr="00000000" w14:paraId="0000004C">
      <w:pPr>
        <w:pStyle w:val="Heading2"/>
        <w:ind w:left="360" w:hanging="360"/>
        <w:rPr/>
      </w:pPr>
      <w:r w:rsidDel="00000000" w:rsidR="00000000" w:rsidRPr="00000000">
        <w:rPr>
          <w:rtl w:val="0"/>
        </w:rPr>
        <w:t xml:space="preserve">Policy information table </w:t>
      </w:r>
    </w:p>
    <w:tbl>
      <w:tblPr>
        <w:tblStyle w:val="Table1"/>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5"/>
        <w:gridCol w:w="6384"/>
        <w:tblGridChange w:id="0">
          <w:tblGrid>
            <w:gridCol w:w="2405"/>
            <w:gridCol w:w="6384"/>
          </w:tblGrid>
        </w:tblGridChange>
      </w:tblGrid>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D">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Related policy</w:t>
            </w:r>
          </w:p>
        </w:tc>
        <w:tc>
          <w:tcPr>
            <w:tcMar>
              <w:top w:w="28.0" w:type="dxa"/>
            </w:tcMar>
            <w:vAlign w:val="center"/>
          </w:tcPr>
          <w:p w:rsidR="00000000" w:rsidDel="00000000" w:rsidP="00000000" w:rsidRDefault="00000000" w:rsidRPr="00000000" w14:paraId="0000004E">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Enrolment Policy</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F">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Approving authority</w:t>
            </w:r>
          </w:p>
        </w:tc>
        <w:tc>
          <w:tcPr>
            <w:tcMar>
              <w:top w:w="28.0" w:type="dxa"/>
            </w:tcMar>
            <w:vAlign w:val="center"/>
          </w:tcPr>
          <w:p w:rsidR="00000000" w:rsidDel="00000000" w:rsidP="00000000" w:rsidRDefault="00000000" w:rsidRPr="00000000" w14:paraId="00000050">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Finance, Infrastructure and Digital</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51">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Document owner</w:t>
            </w:r>
          </w:p>
        </w:tc>
        <w:tc>
          <w:tcPr>
            <w:tcMar>
              <w:top w:w="28.0" w:type="dxa"/>
            </w:tcMar>
            <w:vAlign w:val="center"/>
          </w:tcPr>
          <w:p w:rsidR="00000000" w:rsidDel="00000000" w:rsidP="00000000" w:rsidRDefault="00000000" w:rsidRPr="00000000" w14:paraId="00000052">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Group Finance</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53">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Approval date</w:t>
            </w:r>
          </w:p>
        </w:tc>
        <w:tc>
          <w:tcPr>
            <w:tcMar>
              <w:top w:w="28.0" w:type="dxa"/>
            </w:tcMar>
            <w:vAlign w:val="center"/>
          </w:tcPr>
          <w:p w:rsidR="00000000" w:rsidDel="00000000" w:rsidP="00000000" w:rsidRDefault="00000000" w:rsidRPr="00000000" w14:paraId="00000054">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5 February 2026</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55">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Review by</w:t>
            </w:r>
          </w:p>
        </w:tc>
        <w:tc>
          <w:tcPr>
            <w:tcMar>
              <w:top w:w="28.0" w:type="dxa"/>
            </w:tcMar>
            <w:vAlign w:val="center"/>
          </w:tcPr>
          <w:p w:rsidR="00000000" w:rsidDel="00000000" w:rsidP="00000000" w:rsidRDefault="00000000" w:rsidRPr="00000000" w14:paraId="00000056">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February 2030</w:t>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right" w:leader="none" w:pos="8789"/>
      </w:tabs>
      <w:rPr>
        <w:rFonts w:ascii="Arial" w:cs="Arial" w:eastAsia="Arial" w:hAnsi="Arial"/>
        <w:b w:val="1"/>
        <w:bCs w:val="1"/>
        <w:color w:val="595959"/>
        <w:sz w:val="16"/>
        <w:szCs w:val="16"/>
      </w:rPr>
    </w:pPr>
    <w:r w:rsidDel="00000000" w:rsidR="00000000" w:rsidRPr="00000000">
      <w:rPr>
        <w:rtl w:val="0"/>
      </w:rPr>
    </w:r>
  </w:p>
  <w:p w:rsidR="00000000" w:rsidDel="00000000" w:rsidP="00000000" w:rsidRDefault="00000000" w:rsidRPr="00000000" w14:paraId="0000005F">
    <w:pPr>
      <w:tabs>
        <w:tab w:val="right" w:leader="none" w:pos="8789"/>
      </w:tabs>
      <w:rPr>
        <w:rFonts w:ascii="Arial" w:cs="Arial" w:eastAsia="Arial" w:hAnsi="Arial"/>
        <w:b w:val="1"/>
        <w:bCs w:val="1"/>
        <w:color w:val="595959"/>
        <w:sz w:val="16"/>
        <w:szCs w:val="16"/>
      </w:rPr>
    </w:pPr>
    <w:r w:rsidDel="00000000" w:rsidR="00000000" w:rsidRPr="00000000">
      <w:rPr>
        <w:rtl w:val="0"/>
      </w:rPr>
    </w:r>
  </w:p>
  <w:p w:rsidR="00000000" w:rsidDel="00000000" w:rsidP="00000000" w:rsidRDefault="00000000" w:rsidRPr="00000000" w14:paraId="00000060">
    <w:pPr>
      <w:tabs>
        <w:tab w:val="right" w:leader="none" w:pos="8789"/>
      </w:tabs>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D25/104790 Concessional Fee Program – Procedures– v2.0 – 2026</w:t>
      <w:tab/>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78"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ind w:left="360" w:hanging="360"/>
    </w:pPr>
    <w:rPr>
      <w:rFonts w:ascii="Arial" w:cs="Arial" w:eastAsia="Arial" w:hAnsi="Arial"/>
      <w:b w:val="0"/>
      <w:bCs w:val="0"/>
      <w:color w:val="0b223e"/>
      <w:sz w:val="32"/>
      <w:szCs w:val="32"/>
    </w:rPr>
  </w:style>
  <w:style w:type="paragraph" w:styleId="Heading3">
    <w:name w:val="heading 3"/>
    <w:basedOn w:val="Normal"/>
    <w:next w:val="Normal"/>
    <w:pPr>
      <w:spacing w:after="60" w:before="200" w:lineRule="auto"/>
      <w:ind w:left="547" w:hanging="187.00000000000003"/>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cevn.cecv.catholic.edu.au/Melb/Document-File/Compliance/Policies/MACS-Policies/enrolment/enrolment-policy.pdf" TargetMode="External"/><Relationship Id="rId22" Type="http://schemas.openxmlformats.org/officeDocument/2006/relationships/footer" Target="footer1.xml"/><Relationship Id="rId10" Type="http://schemas.openxmlformats.org/officeDocument/2006/relationships/hyperlink" Target="https://www.macs.vic.edu.au/MelbourneArchdioceseCatholicSchools/media/About-Us/Policies/Glossary-of-Terms.pdf" TargetMode="External"/><Relationship Id="rId21" Type="http://schemas.openxmlformats.org/officeDocument/2006/relationships/footer" Target="footer3.xml"/><Relationship Id="rId13" Type="http://schemas.openxmlformats.org/officeDocument/2006/relationships/hyperlink" Target="https://www.servicesaustralia.gov.au/health-care-card" TargetMode="External"/><Relationship Id="rId12" Type="http://schemas.openxmlformats.org/officeDocument/2006/relationships/hyperlink" Target="https://cevn.cecv.catholic.edu.au/Melb/Document-File/Compliance/Policies/MACS-Policies/governance/privacy-polic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vn.cecv.catholic.edu.au/Melb/Document-File/Compliance/Policies/MACS-Policies/governance/privacy-policy.pdf" TargetMode="External"/><Relationship Id="rId15" Type="http://schemas.openxmlformats.org/officeDocument/2006/relationships/hyperlink" Target="https://immi.homeaffairs.gov.au/visas/already-have-a-visa/immicard" TargetMode="External"/><Relationship Id="rId14" Type="http://schemas.openxmlformats.org/officeDocument/2006/relationships/hyperlink" Target="https://www.dva.gov.au/access-benefits/veteran-card/veteran-gold-card" TargetMode="External"/><Relationship Id="rId17" Type="http://schemas.openxmlformats.org/officeDocument/2006/relationships/header" Target="header2.xml"/><Relationship Id="rId16" Type="http://schemas.openxmlformats.org/officeDocument/2006/relationships/hyperlink" Target="https://www.vic.gov.au/home-school-your-child"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png"/><Relationship Id="rId18" Type="http://schemas.openxmlformats.org/officeDocument/2006/relationships/header" Target="header3.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y fmtid="{D5CDD505-2E9C-101B-9397-08002B2CF9AE}" pid="5" name="DocumentSetDescription">
    <vt:lpwstr>DocumentSetDescription</vt:lpwstr>
  </property>
</Properties>
</file>