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-969009</wp:posOffset>
            </wp:positionH>
            <wp:positionV relativeFrom="paragraph">
              <wp:posOffset>-688974</wp:posOffset>
            </wp:positionV>
            <wp:extent cx="7599045" cy="1609090"/>
            <wp:effectExtent b="0" l="0" r="0" t="0"/>
            <wp:wrapNone/>
            <wp:docPr descr="Shape&#10;&#10;Description automatically generated with low confidence" id="3" name="image1.png"/>
            <a:graphic>
              <a:graphicData uri="http://schemas.openxmlformats.org/drawingml/2006/picture">
                <pic:pic>
                  <pic:nvPicPr>
                    <pic:cNvPr descr="Shape&#10;&#10;Description automatically generated with low confidence" id="0" name="image1.png"/>
                    <pic:cNvPicPr preferRelativeResize="0"/>
                  </pic:nvPicPr>
                  <pic:blipFill>
                    <a:blip r:embed="rId6"/>
                    <a:srcRect b="0" l="0" r="0" t="0"/>
                    <a:stretch>
                      <a:fillRect/>
                    </a:stretch>
                  </pic:blipFill>
                  <pic:spPr>
                    <a:xfrm>
                      <a:off x="0" y="0"/>
                      <a:ext cx="7599045" cy="160909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4291330" cy="683575"/>
                <wp:effectExtent b="0" l="0" r="0" t="0"/>
                <wp:wrapNone/>
                <wp:docPr id="2" name=""/>
                <a:graphic>
                  <a:graphicData uri="http://schemas.microsoft.com/office/word/2010/wordprocessingShape">
                    <wps:wsp>
                      <wps:cNvSpPr/>
                      <wps:cNvPr id="3" name="Shape 3"/>
                      <wps:spPr>
                        <a:xfrm>
                          <a:off x="3205098" y="3445038"/>
                          <a:ext cx="4281805" cy="669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St Francis Xavier </w:t>
                            </w:r>
                            <w:r w:rsidDel="00000000" w:rsidR="00000000" w:rsidRPr="00000000">
                              <w:rPr>
                                <w:rFonts w:ascii="Arial" w:cs="Arial" w:eastAsia="Arial" w:hAnsi="Arial"/>
                                <w:b w:val="0"/>
                                <w:i w:val="0"/>
                                <w:smallCaps w:val="0"/>
                                <w:strike w:val="0"/>
                                <w:color w:val="ffdf00"/>
                                <w:sz w:val="36"/>
                                <w:vertAlign w:val="baseline"/>
                              </w:rPr>
                              <w:t xml:space="preserve">Concessional Fee 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4291330" cy="68357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91330" cy="683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-533399</wp:posOffset>
                </wp:positionV>
                <wp:extent cx="1285875" cy="1247775"/>
                <wp:effectExtent b="0" l="0" r="0" t="0"/>
                <wp:wrapNone/>
                <wp:docPr id="1" name=""/>
                <a:graphic>
                  <a:graphicData uri="http://schemas.microsoft.com/office/word/2010/wordprocessingShape">
                    <wps:wsp>
                      <wps:cNvSpPr/>
                      <wps:cNvPr id="2" name="Shape 2"/>
                      <wps:spPr>
                        <a:xfrm>
                          <a:off x="4707825" y="3160875"/>
                          <a:ext cx="1276350" cy="1238250"/>
                        </a:xfrm>
                        <a:prstGeom prst="rect">
                          <a:avLst/>
                        </a:prstGeom>
                        <a:blipFill rotWithShape="1">
                          <a:blip r:embed="rId8">
                            <a:alphaModFix/>
                          </a:blip>
                          <a:stretch>
                            <a:fillRect b="0" l="0" r="0" t="0"/>
                          </a:stretch>
                        </a:blipFill>
                        <a:ln>
                          <a:noFill/>
                        </a:ln>
                      </wps:spPr>
                      <wps:txbx>
                        <w:txbxContent>
                          <w:p w:rsidR="00000000" w:rsidDel="00000000" w:rsidP="00000000" w:rsidRDefault="00000000" w:rsidRPr="00000000">
                            <w:pPr>
                              <w:spacing w:after="40" w:before="40" w:line="240"/>
                              <w:ind w:left="0" w:right="0" w:firstLine="0"/>
                              <w:jc w:val="center"/>
                              <w:textDirection w:val="btLr"/>
                            </w:pPr>
                          </w:p>
                        </w:txbxContent>
                      </wps:txbx>
                      <wps:bodyPr anchorCtr="0" anchor="ctr"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-533399</wp:posOffset>
                </wp:positionV>
                <wp:extent cx="1285875" cy="124777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85875" cy="124777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a school </w:t>
      </w:r>
      <w:r w:rsidDel="00000000" w:rsidR="00000000" w:rsidRPr="00000000">
        <w:rPr>
          <w:rFonts w:ascii="Arial" w:cs="Arial" w:eastAsia="Arial" w:hAnsi="Arial"/>
          <w:color w:val="262626"/>
          <w:sz w:val="20"/>
          <w:szCs w:val="20"/>
          <w:rtl w:val="0"/>
        </w:rPr>
        <w:t xml:space="preserve">that</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operates with the consent of the Catholic Archbishop of Melbourne and is owned, operated and governed by Melbourne Archdiocese Catholic Schools Ltd (MACS). </w:t>
      </w:r>
    </w:p>
    <w:p w:rsidR="00000000" w:rsidDel="00000000" w:rsidP="00000000" w:rsidRDefault="00000000" w:rsidRPr="00000000" w14:paraId="00000006">
      <w:pPr>
        <w:pStyle w:val="Heading2"/>
        <w:rPr/>
      </w:pPr>
      <w:r w:rsidDel="00000000" w:rsidR="00000000" w:rsidRPr="00000000">
        <w:rPr>
          <w:rtl w:val="0"/>
        </w:rPr>
        <w:t xml:space="preserve">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bookmarkStart w:colFirst="0" w:colLast="0" w:name="_gjdgxs" w:id="0"/>
      <w:bookmarkEnd w:id="0"/>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purpose is to set out the policy and procedures for the provision of fee concessions in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Policy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Eligibility for Concessional School Fees</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school fees are available to any family that meets any of the below eligibility criteria:</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Aboriginal or Torres Strait Islander heritage</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Hold a Health Care Card and </w:t>
      </w:r>
      <w:r w:rsidDel="00000000" w:rsidR="00000000" w:rsidRPr="00000000">
        <w:rPr>
          <w:rFonts w:ascii="Arial" w:cs="Arial" w:eastAsia="Arial" w:hAnsi="Arial"/>
          <w:color w:val="262626"/>
          <w:sz w:val="20"/>
          <w:szCs w:val="20"/>
          <w:rtl w:val="0"/>
        </w:rPr>
        <w:t xml:space="preserve">be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eligible for Camps, Sports, Excursion Fund (CSEF)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experiencing genuine financial hardship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holding a Department of </w:t>
      </w:r>
      <w:r w:rsidDel="00000000" w:rsidR="00000000" w:rsidRPr="00000000">
        <w:rPr>
          <w:rFonts w:ascii="Arial" w:cs="Arial" w:eastAsia="Arial" w:hAnsi="Arial"/>
          <w:color w:val="262626"/>
          <w:sz w:val="20"/>
          <w:szCs w:val="20"/>
          <w:rtl w:val="0"/>
        </w:rPr>
        <w:t xml:space="preserve">Veterans</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Affairs (DVA) Gold Card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identified as refugees and holding an ImmiCard is strongly encouraged to apply for concessional school fees.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Any family at the school required to relocate their (Australian resident) child to St Michael’s Catholic Primary School, North Melbourne, due to the child requiring </w:t>
      </w:r>
      <w:r w:rsidDel="00000000" w:rsidR="00000000" w:rsidRPr="00000000">
        <w:rPr>
          <w:rFonts w:ascii="Arial" w:cs="Arial" w:eastAsia="Arial" w:hAnsi="Arial"/>
          <w:color w:val="262626"/>
          <w:sz w:val="20"/>
          <w:szCs w:val="20"/>
          <w:rtl w:val="0"/>
        </w:rPr>
        <w:t xml:space="preserve">long-term</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medical treatment at The Royal Children’s Hospital, Melbourne</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will be eligible for concessional student fees. Pro-rata concession is provided for part-year attendance. An annual statutory declaration is required to confirm eligibility.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students (HSS) who attend </w:t>
      </w: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on a </w:t>
      </w:r>
      <w:r w:rsidDel="00000000" w:rsidR="00000000" w:rsidRPr="00000000">
        <w:rPr>
          <w:rFonts w:ascii="Arial" w:cs="Arial" w:eastAsia="Arial" w:hAnsi="Arial"/>
          <w:color w:val="262626"/>
          <w:sz w:val="20"/>
          <w:szCs w:val="20"/>
          <w:rtl w:val="0"/>
        </w:rPr>
        <w:t xml:space="preserve">part-time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basis, </w:t>
      </w:r>
      <w:r w:rsidDel="00000000" w:rsidR="00000000" w:rsidRPr="00000000">
        <w:rPr>
          <w:rFonts w:ascii="Arial" w:cs="Arial" w:eastAsia="Arial" w:hAnsi="Arial"/>
          <w:color w:val="262626"/>
          <w:sz w:val="20"/>
          <w:szCs w:val="20"/>
          <w:rtl w:val="0"/>
        </w:rPr>
        <w:t xml:space="preserve">and </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who meet any of the criteria detailed in Policy points 1.1 or 1.2 are eligible for concessional student fees.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Ineligibility for Concessional School Fees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Full Fee Paying Overseas Students (FFPOS) or full-time HSS are ineligible for concessional school fees as government funding is </w:t>
      </w:r>
      <w:r w:rsidDel="00000000" w:rsidR="00000000" w:rsidRPr="00000000">
        <w:rPr>
          <w:rFonts w:ascii="Arial" w:cs="Arial" w:eastAsia="Arial" w:hAnsi="Arial"/>
          <w:color w:val="262626"/>
          <w:sz w:val="20"/>
          <w:szCs w:val="20"/>
          <w:rtl w:val="0"/>
        </w:rPr>
        <w:t xml:space="preserve">unavailable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for FFPOS or full-time HSS.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Concessional School Fees for Eligible Students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Students of eligible families are entitled to concessional school fees.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school fees for eligible students are:</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One child: </w:t>
      </w:r>
      <w:r w:rsidDel="00000000" w:rsidR="00000000" w:rsidRPr="00000000">
        <w:rPr>
          <w:rFonts w:ascii="Arial" w:cs="Arial" w:eastAsia="Arial" w:hAnsi="Arial"/>
          <w:color w:val="262626"/>
          <w:sz w:val="20"/>
          <w:szCs w:val="20"/>
          <w:rtl w:val="0"/>
        </w:rPr>
        <w:t xml:space="preserve">$810 per annum ($15.58 weekly, $202.50 termly)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Two children: </w:t>
      </w:r>
      <w:r w:rsidDel="00000000" w:rsidR="00000000" w:rsidRPr="00000000">
        <w:rPr>
          <w:rFonts w:ascii="Arial" w:cs="Arial" w:eastAsia="Arial" w:hAnsi="Arial"/>
          <w:color w:val="262626"/>
          <w:sz w:val="20"/>
          <w:szCs w:val="20"/>
          <w:rtl w:val="0"/>
        </w:rPr>
        <w:t xml:space="preserve">$1240 per annum per family ($23.85 weekly, $310 termly)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Three or more children: </w:t>
      </w:r>
      <w:r w:rsidDel="00000000" w:rsidR="00000000" w:rsidRPr="00000000">
        <w:rPr>
          <w:rFonts w:ascii="Arial" w:cs="Arial" w:eastAsia="Arial" w:hAnsi="Arial"/>
          <w:color w:val="262626"/>
          <w:sz w:val="20"/>
          <w:szCs w:val="20"/>
          <w:rtl w:val="0"/>
        </w:rPr>
        <w:t xml:space="preserve">$1620 per annum ($31.15 weekly, $405 termly)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1224" w:right="0" w:hanging="504.00000000000006"/>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above fees cover both tuition fees and levies.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Operationalisation of Concessional Fee Policy</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792" w:right="0" w:hanging="432"/>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principal may apply this policy and procedures from the date of approval of this policy.</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60" w:line="240" w:lineRule="auto"/>
        <w:ind w:left="792" w:right="0" w:hanging="432"/>
        <w:jc w:val="left"/>
        <w:rPr/>
      </w:pPr>
      <w:r w:rsidDel="00000000" w:rsidR="00000000" w:rsidRPr="00000000">
        <w:rPr>
          <w:rFonts w:ascii="Arial" w:cs="Arial" w:eastAsia="Arial" w:hAnsi="Arial"/>
          <w:color w:val="262626"/>
          <w:sz w:val="20"/>
          <w:szCs w:val="20"/>
          <w:rtl w:val="0"/>
        </w:rPr>
        <w:t xml:space="preserve">St Francis Xavier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is required to comply with this policy prior to setting fees.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r>
    </w:p>
    <w:p w:rsidR="00000000" w:rsidDel="00000000" w:rsidP="00000000" w:rsidRDefault="00000000" w:rsidRPr="00000000" w14:paraId="00000020">
      <w:pPr>
        <w:pStyle w:val="Heading2"/>
        <w:rPr/>
      </w:pPr>
      <w:r w:rsidDel="00000000" w:rsidR="00000000" w:rsidRPr="00000000">
        <w:rPr>
          <w:rtl w:val="0"/>
        </w:rPr>
        <w:t xml:space="preserve">Definitions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bookmarkStart w:colFirst="0" w:colLast="0" w:name="_1fob9te" w:id="1"/>
      <w:bookmarkEnd w:id="1"/>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Health Care Card (HCC)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Department of Human Services Health Care Card which entitles the card holder to receive Australian Government financial and other assistance.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Department of </w:t>
      </w:r>
      <w:r w:rsidDel="00000000" w:rsidR="00000000" w:rsidRPr="00000000">
        <w:rPr>
          <w:rFonts w:ascii="Arial" w:cs="Arial" w:eastAsia="Arial" w:hAnsi="Arial"/>
          <w:b w:val="1"/>
          <w:bCs w:val="1"/>
          <w:color w:val="262626"/>
          <w:sz w:val="20"/>
          <w:szCs w:val="20"/>
          <w:rtl w:val="0"/>
        </w:rPr>
        <w:t xml:space="preserve">Veterans</w:t>
      </w: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 Affairs (DVA) Gold Card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Department of </w:t>
      </w:r>
      <w:r w:rsidDel="00000000" w:rsidR="00000000" w:rsidRPr="00000000">
        <w:rPr>
          <w:rFonts w:ascii="Arial" w:cs="Arial" w:eastAsia="Arial" w:hAnsi="Arial"/>
          <w:color w:val="262626"/>
          <w:sz w:val="20"/>
          <w:szCs w:val="20"/>
          <w:rtl w:val="0"/>
        </w:rPr>
        <w:t xml:space="preserve">Veterans</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Affairs Health Card – All Conditions or Totally &amp; Permanently Incapacitated. Eligible card holders are veterans and former members of the Australian Defence Force (ADF)</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their widow(er)s and dependants. Eligibility is determined by the level of disability of the veteran or the status of dependants of the veteran, as determined by the DVA.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Fee concession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remission or exemption from school fees payable because of genuine financial hardship.</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color w:val="262626"/>
          <w:sz w:val="20"/>
          <w:szCs w:val="20"/>
          <w:rtl w:val="0"/>
        </w:rPr>
        <w:t xml:space="preserve">Home-schooled</w:t>
      </w: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 student (HSS)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w:t>
      </w: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student. Home school students who attend a Catholic primary school on a part-time basis are eligible to receive government funding towards their education on a fractional, full-time equivalent basis.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Melbourne Archdiocese Catholic Schools Ltd (MACS)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MACS is a reference to Melbourne Archdiocese Catholic Schools Ltd, </w:t>
      </w:r>
      <w:r w:rsidDel="00000000" w:rsidR="00000000" w:rsidRPr="00000000">
        <w:rPr>
          <w:rFonts w:ascii="Arial" w:cs="Arial" w:eastAsia="Arial" w:hAnsi="Arial"/>
          <w:color w:val="262626"/>
          <w:sz w:val="20"/>
          <w:szCs w:val="20"/>
          <w:rtl w:val="0"/>
        </w:rPr>
        <w:t xml:space="preserve">and/or</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its subsidiaries, MACSS and/or MACSEYE (as the context requires).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MACS school or school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school </w:t>
      </w:r>
      <w:r w:rsidDel="00000000" w:rsidR="00000000" w:rsidRPr="00000000">
        <w:rPr>
          <w:rFonts w:ascii="Arial" w:cs="Arial" w:eastAsia="Arial" w:hAnsi="Arial"/>
          <w:color w:val="262626"/>
          <w:sz w:val="20"/>
          <w:szCs w:val="20"/>
          <w:rtl w:val="0"/>
        </w:rPr>
        <w:t xml:space="preserve">that</w:t>
      </w: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operates with the consent of the Catholic Archbishop of Melbourne and is owned, operated and governed by MACS, directly or through MACSS (as the context requires). References to schools or MACS schools also includes boarding premises of schools operated by MACS and specialist schools operated by MACSS.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Principal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Individual appointed by MACS as principal in a MACS primary school.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Refugee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A person who: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 a case where the person has a nationality, is outside the country of his or her nationality and, owing to a well-founded fear of persecution, is unable or unwilling to avail himself or herself of the protection of that country, or</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57" w:right="0" w:hanging="357"/>
        <w:jc w:val="left"/>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 a case where the person does not have a nationality, is outside the country of his or her former habitual residence and owing to a well-founded fear of persecution, is unable or unwilling to return to it. Refer Migration Act 1958 Sect 5H.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vertAlign w:val="baseline"/>
        </w:rPr>
      </w:pPr>
      <w:r w:rsidDel="00000000" w:rsidR="00000000" w:rsidRPr="00000000">
        <w:rPr>
          <w:rFonts w:ascii="Arial" w:cs="Arial" w:eastAsia="Arial" w:hAnsi="Arial"/>
          <w:b w:val="1"/>
          <w:bCs w:val="1"/>
          <w:i w:val="0"/>
          <w:iCs w:val="0"/>
          <w:smallCaps w:val="0"/>
          <w:strike w:val="0"/>
          <w:color w:val="262626"/>
          <w:sz w:val="20"/>
          <w:szCs w:val="20"/>
          <w:u w:val="none"/>
          <w:vertAlign w:val="baseline"/>
          <w:rtl w:val="0"/>
        </w:rPr>
        <w:t xml:space="preserve">School fees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The fees and levies charged by a MACS school to families for the education of children in the school.</w:t>
      </w:r>
    </w:p>
    <w:p w:rsidR="00000000" w:rsidDel="00000000" w:rsidP="00000000" w:rsidRDefault="00000000" w:rsidRPr="00000000" w14:paraId="00000035">
      <w:pPr>
        <w:pStyle w:val="Heading2"/>
        <w:rPr/>
      </w:pPr>
      <w:r w:rsidDel="00000000" w:rsidR="00000000" w:rsidRPr="00000000">
        <w:rPr>
          <w:rtl w:val="0"/>
        </w:rPr>
        <w:t xml:space="preserve">Related policies and resources</w:t>
      </w:r>
    </w:p>
    <w:p w:rsidR="00000000" w:rsidDel="00000000" w:rsidP="00000000" w:rsidRDefault="00000000" w:rsidRPr="00000000" w14:paraId="00000036">
      <w:pPr>
        <w:pStyle w:val="Heading4"/>
        <w:rPr/>
      </w:pPr>
      <w:r w:rsidDel="00000000" w:rsidR="00000000" w:rsidRPr="00000000">
        <w:rPr>
          <w:rtl w:val="0"/>
        </w:rPr>
        <w:t xml:space="preserve">Supporting documents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Fee Program – Procedures – MACS Primary Schools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Fee Program Application Form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Fee Program Application – Letter to Applicant – Approved – Template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Fee Program Application – Letter to Applicant – Declined – Template</w:t>
      </w:r>
    </w:p>
    <w:p w:rsidR="00000000" w:rsidDel="00000000" w:rsidP="00000000" w:rsidRDefault="00000000" w:rsidRPr="00000000" w14:paraId="0000003B">
      <w:pPr>
        <w:pStyle w:val="Heading4"/>
        <w:rPr/>
      </w:pPr>
      <w:r w:rsidDel="00000000" w:rsidR="00000000" w:rsidRPr="00000000">
        <w:rPr>
          <w:rtl w:val="0"/>
        </w:rPr>
        <w:t xml:space="preserve">Related MACS policies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Concessional Fee Policy for MACS Schools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[insert school] Privacy Policy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Private Income Policy </w:t>
      </w:r>
    </w:p>
    <w:p w:rsidR="00000000" w:rsidDel="00000000" w:rsidP="00000000" w:rsidRDefault="00000000" w:rsidRPr="00000000" w14:paraId="0000003F">
      <w:pPr>
        <w:pStyle w:val="Heading2"/>
        <w:rPr/>
      </w:pPr>
      <w:r w:rsidDel="00000000" w:rsidR="00000000" w:rsidRPr="00000000">
        <w:rPr>
          <w:rtl w:val="0"/>
        </w:rPr>
        <w:t xml:space="preserve">Legislation and standards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bookmarkStart w:colFirst="0" w:colLast="0" w:name="_3znysh7" w:id="2"/>
      <w:bookmarkEnd w:id="2"/>
      <w:hyperlink r:id="rId9">
        <w:r w:rsidDel="00000000" w:rsidR="00000000" w:rsidRPr="00000000">
          <w:rPr>
            <w:rFonts w:ascii="Arial" w:cs="Arial" w:eastAsia="Arial" w:hAnsi="Arial"/>
            <w:b w:val="0"/>
            <w:bCs w:val="0"/>
            <w:i w:val="1"/>
            <w:iCs w:val="1"/>
            <w:smallCaps w:val="0"/>
            <w:strike w:val="0"/>
            <w:color w:val="262626"/>
            <w:sz w:val="20"/>
            <w:szCs w:val="20"/>
            <w:u w:val="none"/>
            <w:vertAlign w:val="baseline"/>
            <w:rtl w:val="0"/>
          </w:rPr>
          <w:t xml:space="preserve">Migration Act 1958</w:t>
        </w:r>
      </w:hyperlink>
      <w:hyperlink r:id="rId10">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 xml:space="preserve"> (Cth) Sect 5H</w:t>
        </w:r>
      </w:hyperlink>
      <w:r w:rsidDel="00000000" w:rsidR="00000000" w:rsidRPr="00000000">
        <w:rPr>
          <w:rFonts w:ascii="Arial" w:cs="Arial" w:eastAsia="Arial" w:hAnsi="Arial"/>
          <w:b w:val="0"/>
          <w:bCs w:val="0"/>
          <w:i w:val="0"/>
          <w:iCs w:val="0"/>
          <w:smallCaps w:val="0"/>
          <w:strike w:val="0"/>
          <w:color w:val="262626"/>
          <w:sz w:val="20"/>
          <w:szCs w:val="20"/>
          <w:u w:val="none"/>
          <w:vertAlign w:val="baseline"/>
          <w:rtl w:val="0"/>
        </w:rPr>
        <w:tab/>
      </w:r>
    </w:p>
    <w:p w:rsidR="00000000" w:rsidDel="00000000" w:rsidP="00000000" w:rsidRDefault="00000000" w:rsidRPr="00000000" w14:paraId="00000041">
      <w:pPr>
        <w:pStyle w:val="Heading2"/>
        <w:rPr/>
      </w:pPr>
      <w:r w:rsidDel="00000000" w:rsidR="00000000" w:rsidRPr="00000000">
        <w:rPr>
          <w:rtl w:val="0"/>
        </w:rPr>
        <w:t xml:space="preserve">Policy information table</w:t>
      </w:r>
    </w:p>
    <w:tbl>
      <w:tblPr>
        <w:tblStyle w:val="Table1"/>
        <w:tblW w:w="8834.0" w:type="dxa"/>
        <w:jc w:val="left"/>
        <w:tblInd w:w="-2.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05"/>
        <w:gridCol w:w="6429"/>
        <w:tblGridChange w:id="0">
          <w:tblGrid>
            <w:gridCol w:w="2405"/>
            <w:gridCol w:w="6429"/>
          </w:tblGrid>
        </w:tblGridChange>
      </w:tblGrid>
      <w:tr>
        <w:trPr>
          <w:cantSplit w:val="0"/>
          <w:trHeight w:val="147" w:hRule="atLeast"/>
          <w:tblHeader w:val="0"/>
        </w:trPr>
        <w:tc>
          <w:tcPr>
            <w:tcMar>
              <w:top w:w="28.0" w:type="dxa"/>
              <w:bottom w:w="28.0" w:type="dxa"/>
            </w:tcMar>
          </w:tcPr>
          <w:p w:rsidR="00000000" w:rsidDel="00000000" w:rsidP="00000000" w:rsidRDefault="00000000" w:rsidRPr="00000000" w14:paraId="00000042">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Responsible director </w:t>
            </w:r>
          </w:p>
        </w:tc>
        <w:tc>
          <w:tcPr>
            <w:tcMar>
              <w:top w:w="28.0" w:type="dxa"/>
              <w:bottom w:w="28.0" w:type="dxa"/>
            </w:tcMar>
          </w:tcPr>
          <w:p w:rsidR="00000000" w:rsidDel="00000000" w:rsidP="00000000" w:rsidRDefault="00000000" w:rsidRPr="00000000" w14:paraId="0000004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Finance and Information Technology</w:t>
            </w:r>
          </w:p>
        </w:tc>
      </w:tr>
      <w:tr>
        <w:trPr>
          <w:cantSplit w:val="0"/>
          <w:trHeight w:val="147" w:hRule="atLeast"/>
          <w:tblHeader w:val="0"/>
        </w:trPr>
        <w:tc>
          <w:tcPr>
            <w:tcMar>
              <w:top w:w="28.0" w:type="dxa"/>
              <w:bottom w:w="28.0" w:type="dxa"/>
            </w:tcMar>
          </w:tcPr>
          <w:p w:rsidR="00000000" w:rsidDel="00000000" w:rsidP="00000000" w:rsidRDefault="00000000" w:rsidRPr="00000000" w14:paraId="00000044">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Policy owner</w:t>
            </w:r>
          </w:p>
        </w:tc>
        <w:tc>
          <w:tcPr>
            <w:tcMar>
              <w:top w:w="28.0" w:type="dxa"/>
              <w:bottom w:w="28.0" w:type="dxa"/>
            </w:tcMar>
          </w:tcPr>
          <w:p w:rsidR="00000000" w:rsidDel="00000000" w:rsidP="00000000" w:rsidRDefault="00000000" w:rsidRPr="00000000" w14:paraId="00000045">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Chief Financial Officer</w:t>
            </w:r>
          </w:p>
        </w:tc>
      </w:tr>
      <w:tr>
        <w:trPr>
          <w:cantSplit w:val="0"/>
          <w:trHeight w:val="147" w:hRule="atLeast"/>
          <w:tblHeader w:val="0"/>
        </w:trPr>
        <w:tc>
          <w:tcPr>
            <w:tcMar>
              <w:top w:w="28.0" w:type="dxa"/>
              <w:bottom w:w="28.0" w:type="dxa"/>
            </w:tcMar>
          </w:tcPr>
          <w:p w:rsidR="00000000" w:rsidDel="00000000" w:rsidP="00000000" w:rsidRDefault="00000000" w:rsidRPr="00000000" w14:paraId="00000046">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Approving authority</w:t>
            </w:r>
          </w:p>
        </w:tc>
        <w:tc>
          <w:tcPr>
            <w:tcMar>
              <w:top w:w="28.0" w:type="dxa"/>
              <w:bottom w:w="28.0" w:type="dxa"/>
            </w:tcMar>
          </w:tcPr>
          <w:p w:rsidR="00000000" w:rsidDel="00000000" w:rsidP="00000000" w:rsidRDefault="00000000" w:rsidRPr="00000000" w14:paraId="00000047">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Executive Director</w:t>
            </w:r>
          </w:p>
        </w:tc>
      </w:tr>
      <w:tr>
        <w:trPr>
          <w:cantSplit w:val="0"/>
          <w:trHeight w:val="147" w:hRule="atLeast"/>
          <w:tblHeader w:val="0"/>
        </w:trPr>
        <w:tc>
          <w:tcPr>
            <w:tcMar>
              <w:top w:w="28.0" w:type="dxa"/>
              <w:bottom w:w="28.0" w:type="dxa"/>
            </w:tcMar>
          </w:tcPr>
          <w:p w:rsidR="00000000" w:rsidDel="00000000" w:rsidP="00000000" w:rsidRDefault="00000000" w:rsidRPr="00000000" w14:paraId="00000048">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Assigned board committee</w:t>
            </w:r>
          </w:p>
        </w:tc>
        <w:tc>
          <w:tcPr>
            <w:tcMar>
              <w:top w:w="28.0" w:type="dxa"/>
              <w:bottom w:w="28.0" w:type="dxa"/>
            </w:tcMar>
          </w:tcPr>
          <w:p w:rsidR="00000000" w:rsidDel="00000000" w:rsidP="00000000" w:rsidRDefault="00000000" w:rsidRPr="00000000" w14:paraId="00000049">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Finance and Audit</w:t>
            </w:r>
          </w:p>
        </w:tc>
      </w:tr>
      <w:tr>
        <w:trPr>
          <w:cantSplit w:val="0"/>
          <w:trHeight w:val="147" w:hRule="atLeast"/>
          <w:tblHeader w:val="0"/>
        </w:trPr>
        <w:tc>
          <w:tcPr>
            <w:tcMar>
              <w:top w:w="28.0" w:type="dxa"/>
              <w:bottom w:w="28.0" w:type="dxa"/>
            </w:tcMar>
          </w:tcPr>
          <w:p w:rsidR="00000000" w:rsidDel="00000000" w:rsidP="00000000" w:rsidRDefault="00000000" w:rsidRPr="00000000" w14:paraId="0000004A">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Approval date</w:t>
            </w:r>
          </w:p>
        </w:tc>
        <w:tc>
          <w:tcPr>
            <w:tcMar>
              <w:top w:w="28.0" w:type="dxa"/>
              <w:bottom w:w="28.0" w:type="dxa"/>
            </w:tcMar>
          </w:tcPr>
          <w:p w:rsidR="00000000" w:rsidDel="00000000" w:rsidP="00000000" w:rsidRDefault="00000000" w:rsidRPr="00000000" w14:paraId="0000004B">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14 July 2023</w:t>
            </w:r>
          </w:p>
        </w:tc>
      </w:tr>
      <w:tr>
        <w:trPr>
          <w:cantSplit w:val="0"/>
          <w:trHeight w:val="147" w:hRule="atLeast"/>
          <w:tblHeader w:val="0"/>
        </w:trPr>
        <w:tc>
          <w:tcPr>
            <w:tcMar>
              <w:top w:w="28.0" w:type="dxa"/>
              <w:bottom w:w="28.0" w:type="dxa"/>
            </w:tcMar>
          </w:tcPr>
          <w:p w:rsidR="00000000" w:rsidDel="00000000" w:rsidP="00000000" w:rsidRDefault="00000000" w:rsidRPr="00000000" w14:paraId="0000004C">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Risk rating</w:t>
            </w:r>
          </w:p>
        </w:tc>
        <w:tc>
          <w:tcPr>
            <w:tcMar>
              <w:top w:w="28.0" w:type="dxa"/>
              <w:bottom w:w="28.0" w:type="dxa"/>
            </w:tcMar>
          </w:tcPr>
          <w:p w:rsidR="00000000" w:rsidDel="00000000" w:rsidP="00000000" w:rsidRDefault="00000000" w:rsidRPr="00000000" w14:paraId="0000004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Moderate</w:t>
            </w:r>
          </w:p>
        </w:tc>
      </w:tr>
      <w:tr>
        <w:trPr>
          <w:cantSplit w:val="0"/>
          <w:trHeight w:val="132" w:hRule="atLeast"/>
          <w:tblHeader w:val="0"/>
        </w:trPr>
        <w:tc>
          <w:tcPr>
            <w:tcMar>
              <w:top w:w="28.0" w:type="dxa"/>
              <w:bottom w:w="28.0" w:type="dxa"/>
            </w:tcMar>
          </w:tcPr>
          <w:p w:rsidR="00000000" w:rsidDel="00000000" w:rsidP="00000000" w:rsidRDefault="00000000" w:rsidRPr="00000000" w14:paraId="0000004E">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Date of next review</w:t>
            </w:r>
          </w:p>
        </w:tc>
        <w:tc>
          <w:tcPr>
            <w:tcMar>
              <w:top w:w="28.0" w:type="dxa"/>
              <w:bottom w:w="28.0" w:type="dxa"/>
            </w:tcMar>
          </w:tcPr>
          <w:p w:rsidR="00000000" w:rsidDel="00000000" w:rsidP="00000000" w:rsidRDefault="00000000" w:rsidRPr="00000000" w14:paraId="0000004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May 2025</w:t>
            </w:r>
          </w:p>
        </w:tc>
      </w:tr>
      <w:tr>
        <w:trPr>
          <w:cantSplit w:val="0"/>
          <w:trHeight w:val="132" w:hRule="atLeast"/>
          <w:tblHeader w:val="0"/>
        </w:trPr>
        <w:tc>
          <w:tcPr>
            <w:tcMar>
              <w:top w:w="28.0" w:type="dxa"/>
              <w:bottom w:w="28.0" w:type="dxa"/>
            </w:tcMar>
          </w:tcPr>
          <w:p w:rsidR="00000000" w:rsidDel="00000000" w:rsidP="00000000" w:rsidRDefault="00000000" w:rsidRPr="00000000" w14:paraId="00000050">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Publication details</w:t>
            </w:r>
          </w:p>
        </w:tc>
        <w:tc>
          <w:tcPr>
            <w:tcMar>
              <w:top w:w="28.0" w:type="dxa"/>
              <w:bottom w:w="28.0" w:type="dxa"/>
            </w:tcMar>
          </w:tcPr>
          <w:p w:rsidR="00000000" w:rsidDel="00000000" w:rsidP="00000000" w:rsidRDefault="00000000" w:rsidRPr="00000000" w14:paraId="0000005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CEVN</w:t>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tbl>
      <w:tblPr>
        <w:tblStyle w:val="Table2"/>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gridSpan w:val="2"/>
            <w:shd w:fill="f2f2f2" w:val="clear"/>
            <w:tcMar>
              <w:top w:w="28.0" w:type="dxa"/>
            </w:tcMar>
            <w:vAlign w:val="center"/>
          </w:tcPr>
          <w:p w:rsidR="00000000" w:rsidDel="00000000" w:rsidP="00000000" w:rsidRDefault="00000000" w:rsidRPr="00000000" w14:paraId="00000053">
            <w:pPr>
              <w:spacing w:after="28" w:before="28" w:lineRule="auto"/>
              <w:rPr>
                <w:rFonts w:ascii="Arial" w:cs="Arial" w:eastAsia="Arial" w:hAnsi="Arial"/>
                <w:color w:val="595959"/>
                <w:sz w:val="16"/>
                <w:szCs w:val="16"/>
              </w:rPr>
            </w:pPr>
            <w:r w:rsidDel="00000000" w:rsidR="00000000" w:rsidRPr="00000000">
              <w:rPr>
                <w:rFonts w:ascii="Arial" w:cs="Arial" w:eastAsia="Arial" w:hAnsi="Arial"/>
                <w:b w:val="1"/>
                <w:bCs w:val="1"/>
                <w:color w:val="595959"/>
                <w:sz w:val="16"/>
                <w:szCs w:val="16"/>
                <w:rtl w:val="0"/>
              </w:rPr>
              <w:t xml:space="preserve">POLICY DATABASE INFORMATION </w:t>
            </w:r>
            <w:r w:rsidDel="00000000" w:rsidR="00000000" w:rsidRPr="00000000">
              <w:rPr>
                <w:rtl w:val="0"/>
              </w:rPr>
            </w:r>
          </w:p>
        </w:tc>
      </w:tr>
      <w:tr>
        <w:trPr>
          <w:cantSplit w:val="0"/>
          <w:trHeight w:val="147" w:hRule="atLeast"/>
          <w:tblHeader w:val="0"/>
        </w:trPr>
        <w:tc>
          <w:tcPr>
            <w:tcMar>
              <w:top w:w="28.0" w:type="dxa"/>
            </w:tcMar>
            <w:vAlign w:val="center"/>
          </w:tcPr>
          <w:p w:rsidR="00000000" w:rsidDel="00000000" w:rsidP="00000000" w:rsidRDefault="00000000" w:rsidRPr="00000000" w14:paraId="00000055">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Assigned Framework</w:t>
            </w:r>
          </w:p>
        </w:tc>
        <w:tc>
          <w:tcPr>
            <w:tcMar>
              <w:top w:w="28.0" w:type="dxa"/>
            </w:tcMar>
            <w:vAlign w:val="center"/>
          </w:tcPr>
          <w:p w:rsidR="00000000" w:rsidDel="00000000" w:rsidP="00000000" w:rsidRDefault="00000000" w:rsidRPr="00000000" w14:paraId="00000056">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Finance</w:t>
            </w:r>
          </w:p>
        </w:tc>
      </w:tr>
      <w:tr>
        <w:trPr>
          <w:cantSplit w:val="0"/>
          <w:trHeight w:val="147" w:hRule="atLeast"/>
          <w:tblHeader w:val="0"/>
        </w:trPr>
        <w:tc>
          <w:tcPr>
            <w:tcMar>
              <w:top w:w="28.0" w:type="dxa"/>
            </w:tcMar>
            <w:vAlign w:val="center"/>
          </w:tcPr>
          <w:p w:rsidR="00000000" w:rsidDel="00000000" w:rsidP="00000000" w:rsidRDefault="00000000" w:rsidRPr="00000000" w14:paraId="00000057">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Related documents</w:t>
            </w:r>
          </w:p>
        </w:tc>
        <w:tc>
          <w:tcPr>
            <w:tcMar>
              <w:top w:w="28.0" w:type="dxa"/>
            </w:tcMar>
            <w:vAlign w:val="center"/>
          </w:tcPr>
          <w:p w:rsidR="00000000" w:rsidDel="00000000" w:rsidP="00000000" w:rsidRDefault="00000000" w:rsidRPr="00000000" w14:paraId="00000058">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See list of supporting documents above</w:t>
            </w:r>
          </w:p>
        </w:tc>
      </w:tr>
      <w:tr>
        <w:trPr>
          <w:cantSplit w:val="0"/>
          <w:trHeight w:val="147" w:hRule="atLeast"/>
          <w:tblHeader w:val="0"/>
        </w:trPr>
        <w:tc>
          <w:tcPr>
            <w:tcMar>
              <w:top w:w="28.0" w:type="dxa"/>
            </w:tcMar>
            <w:vAlign w:val="center"/>
          </w:tcPr>
          <w:p w:rsidR="00000000" w:rsidDel="00000000" w:rsidP="00000000" w:rsidRDefault="00000000" w:rsidRPr="00000000" w14:paraId="00000059">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Superseded documents</w:t>
            </w:r>
          </w:p>
        </w:tc>
        <w:tc>
          <w:tcPr>
            <w:tcMar>
              <w:top w:w="28.0" w:type="dxa"/>
            </w:tcMar>
            <w:vAlign w:val="center"/>
          </w:tcPr>
          <w:p w:rsidR="00000000" w:rsidDel="00000000" w:rsidP="00000000" w:rsidRDefault="00000000" w:rsidRPr="00000000" w14:paraId="0000005A">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Concessional Fee Policy Primary Schools – v1.0 – 2021 </w:t>
            </w:r>
          </w:p>
        </w:tc>
      </w:tr>
      <w:tr>
        <w:trPr>
          <w:cantSplit w:val="0"/>
          <w:trHeight w:val="147" w:hRule="atLeast"/>
          <w:tblHeader w:val="0"/>
        </w:trPr>
        <w:tc>
          <w:tcPr>
            <w:tcMar>
              <w:top w:w="28.0" w:type="dxa"/>
            </w:tcMar>
            <w:vAlign w:val="center"/>
          </w:tcPr>
          <w:p w:rsidR="00000000" w:rsidDel="00000000" w:rsidP="00000000" w:rsidRDefault="00000000" w:rsidRPr="00000000" w14:paraId="0000005B">
            <w:pPr>
              <w:widowControl w:val="0"/>
              <w:tabs>
                <w:tab w:val="left" w:leader="none" w:pos="142"/>
                <w:tab w:val="left" w:leader="none" w:pos="227"/>
              </w:tabs>
              <w:spacing w:after="28" w:before="28" w:lineRule="auto"/>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New policy</w:t>
            </w:r>
          </w:p>
        </w:tc>
        <w:tc>
          <w:tcPr>
            <w:tcMar>
              <w:top w:w="28.0" w:type="dxa"/>
            </w:tcMar>
            <w:vAlign w:val="center"/>
          </w:tcPr>
          <w:p w:rsidR="00000000" w:rsidDel="00000000" w:rsidP="00000000" w:rsidRDefault="00000000" w:rsidRPr="00000000" w14:paraId="0000005C">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vertAlign w:val="baseline"/>
        </w:rPr>
      </w:pPr>
      <w:r w:rsidDel="00000000" w:rsidR="00000000" w:rsidRPr="00000000">
        <w:rPr>
          <w:rtl w:val="0"/>
        </w:rPr>
      </w:r>
    </w:p>
    <w:sectPr>
      <w:footerReference r:id="rId11" w:type="default"/>
      <w:pgSz w:h="16838" w:w="11906" w:orient="portrait"/>
      <w:pgMar w:bottom="1123.2" w:top="1094.4" w:left="1123.2" w:right="1123.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color="d9d9d9" w:space="10" w:sz="4" w:val="single"/>
      </w:pBdr>
      <w:tabs>
        <w:tab w:val="right" w:leader="none" w:pos="8844"/>
      </w:tabs>
      <w:spacing w:before="120" w:lineRule="auto"/>
      <w:rPr>
        <w:rFonts w:ascii="Arial" w:cs="Arial" w:eastAsia="Arial" w:hAnsi="Arial"/>
        <w:b w:val="1"/>
        <w:bCs w:val="1"/>
        <w:color w:val="0b223e"/>
        <w:sz w:val="16"/>
        <w:szCs w:val="16"/>
      </w:rPr>
    </w:pPr>
    <w:r w:rsidDel="00000000" w:rsidR="00000000" w:rsidRPr="00000000">
      <w:rPr>
        <w:rFonts w:ascii="Arial" w:cs="Arial" w:eastAsia="Arial" w:hAnsi="Arial"/>
        <w:b w:val="1"/>
        <w:bCs w:val="1"/>
        <w:color w:val="595959"/>
        <w:sz w:val="16"/>
        <w:szCs w:val="16"/>
        <w:rtl w:val="0"/>
      </w:rPr>
      <w:t xml:space="preserve">D21/112128[v2] St Francis Xavier </w:t>
    </w:r>
    <w:r w:rsidDel="00000000" w:rsidR="00000000" w:rsidRPr="00000000">
      <w:rPr>
        <w:rFonts w:ascii="Arial" w:cs="Arial" w:eastAsia="Arial" w:hAnsi="Arial"/>
        <w:b w:val="1"/>
        <w:bCs w:val="1"/>
        <w:color w:val="595959"/>
        <w:sz w:val="16"/>
        <w:szCs w:val="16"/>
        <w:rtl w:val="0"/>
      </w:rPr>
      <w:t xml:space="preserve">Concessional Fee Policy – v2.0 – 2023</w:t>
    </w:r>
    <w:r w:rsidDel="00000000" w:rsidR="00000000" w:rsidRPr="00000000">
      <w:rPr>
        <w:rFonts w:ascii="Arial" w:cs="Arial" w:eastAsia="Arial" w:hAnsi="Arial"/>
        <w:color w:val="595959"/>
        <w:sz w:val="16"/>
        <w:szCs w:val="16"/>
        <w:rtl w:val="0"/>
      </w:rPr>
      <w:tab/>
      <w:t xml:space="preserve">Page </w:t>
    </w:r>
    <w:r w:rsidDel="00000000" w:rsidR="00000000" w:rsidRPr="00000000">
      <w:rPr>
        <w:rFonts w:ascii="Arial" w:cs="Arial" w:eastAsia="Arial" w:hAnsi="Arial"/>
        <w:color w:val="595959"/>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pPr>
    <w:rPr>
      <w:rFonts w:ascii="Arial" w:cs="Arial" w:eastAsia="Arial" w:hAnsi="Arial"/>
      <w:color w:val="0b223e"/>
      <w:sz w:val="32"/>
      <w:szCs w:val="32"/>
    </w:rPr>
  </w:style>
  <w:style w:type="paragraph" w:styleId="Heading3">
    <w:name w:val="heading 3"/>
    <w:basedOn w:val="Normal"/>
    <w:next w:val="Normal"/>
    <w:pPr>
      <w:spacing w:after="60" w:before="200" w:lineRule="auto"/>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rial" w:cs="Arial" w:eastAsia="Arial" w:hAnsi="Arial"/>
      <w:color w:val="262626"/>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color w:val="262626"/>
      <w:sz w:val="20"/>
      <w:szCs w:val="20"/>
    </w:rPr>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5.austlii.edu.au/au/legis/cth/consol_act/ma1958118/s5h.html" TargetMode="External"/><Relationship Id="rId9" Type="http://schemas.openxmlformats.org/officeDocument/2006/relationships/hyperlink" Target="http://www5.austlii.edu.au/au/legis/cth/consol_act/ma1958118/s5h.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TemplateUrl">
    <vt:lpwstr>TemplateUrl</vt:lpwstr>
  </property>
  <property fmtid="{D5CDD505-2E9C-101B-9397-08002B2CF9AE}" pid="4" name="_SourceUrl">
    <vt:lpwstr>_SourceUrl</vt:lpwstr>
  </property>
  <property fmtid="{D5CDD505-2E9C-101B-9397-08002B2CF9AE}" pid="5" name="ContentTypeId">
    <vt:lpwstr>0x010100655844C1E72D99479FB205B5885A3150</vt:lpwstr>
  </property>
  <property fmtid="{D5CDD505-2E9C-101B-9397-08002B2CF9AE}" pid="6" name="_dlc_DocIdItemGuid">
    <vt:lpwstr>4fc44599-bb49-46ff-a768-f90db9ae4721</vt:lpwstr>
  </property>
  <property fmtid="{D5CDD505-2E9C-101B-9397-08002B2CF9AE}" pid="7" name="xd_Signature">
    <vt:lpwstr>false</vt:lpwstr>
  </property>
  <property fmtid="{D5CDD505-2E9C-101B-9397-08002B2CF9AE}" pid="8" name="_SharedFileIndex">
    <vt:lpwstr>_SharedFileIndex</vt:lpwstr>
  </property>
  <property fmtid="{D5CDD505-2E9C-101B-9397-08002B2CF9AE}" pid="9" name="xd_ProgID">
    <vt:lpwstr>xd_ProgID</vt:lpwstr>
  </property>
</Properties>
</file>