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F162" w14:textId="77777777" w:rsidR="00900888" w:rsidRDefault="0020277F">
      <w:pPr>
        <w:rPr>
          <w:i/>
          <w:color w:val="595959"/>
          <w:sz w:val="21"/>
          <w:szCs w:val="21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786A3CF0" wp14:editId="1EB0BB86">
            <wp:extent cx="5612126" cy="9917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26" cy="991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16D2BA" wp14:editId="6F9F1B9C">
                <wp:simplePos x="0" y="0"/>
                <wp:positionH relativeFrom="page">
                  <wp:posOffset>963613</wp:posOffset>
                </wp:positionH>
                <wp:positionV relativeFrom="page">
                  <wp:posOffset>764223</wp:posOffset>
                </wp:positionV>
                <wp:extent cx="3078480" cy="100715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1523" y="3285018"/>
                          <a:ext cx="30689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33144" w14:textId="77777777" w:rsidR="00900888" w:rsidRDefault="0020277F">
                            <w:pPr>
                              <w:spacing w:before="0" w:line="215" w:lineRule="auto"/>
                              <w:textDirection w:val="btLr"/>
                            </w:pPr>
                            <w:r>
                              <w:rPr>
                                <w:b/>
                                <w:sz w:val="40"/>
                              </w:rPr>
                              <w:t>St Francis Xavier Concessional Fee Policy</w:t>
                            </w:r>
                          </w:p>
                        </w:txbxContent>
                      </wps:txbx>
                      <wps:bodyPr spcFirstLastPara="1" wrap="square" lIns="144000" tIns="108000" rIns="72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963613</wp:posOffset>
                </wp:positionH>
                <wp:positionV relativeFrom="page">
                  <wp:posOffset>764223</wp:posOffset>
                </wp:positionV>
                <wp:extent cx="3078480" cy="100715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480" cy="10071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5F31B32" wp14:editId="1A6719D1">
                <wp:simplePos x="0" y="0"/>
                <wp:positionH relativeFrom="column">
                  <wp:posOffset>4727265</wp:posOffset>
                </wp:positionH>
                <wp:positionV relativeFrom="paragraph">
                  <wp:posOffset>97790</wp:posOffset>
                </wp:positionV>
                <wp:extent cx="861378" cy="952582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378" cy="952582"/>
                          <a:chOff x="152400" y="152400"/>
                          <a:chExt cx="1574076" cy="1733976"/>
                        </a:xfrm>
                      </wpg:grpSpPr>
                      <pic:pic xmlns:pic="http://schemas.openxmlformats.org/drawingml/2006/picture">
                        <pic:nvPicPr>
                          <pic:cNvPr id="2" name="Shape 4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574076" cy="173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4727265</wp:posOffset>
                </wp:positionH>
                <wp:positionV relativeFrom="paragraph">
                  <wp:posOffset>97790</wp:posOffset>
                </wp:positionV>
                <wp:extent cx="861378" cy="952582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78" cy="952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A80BF4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tabs>
          <w:tab w:val="left" w:pos="3000"/>
        </w:tabs>
        <w:spacing w:before="60" w:after="200"/>
        <w:rPr>
          <w:color w:val="595959"/>
          <w:sz w:val="21"/>
          <w:szCs w:val="21"/>
        </w:rPr>
      </w:pPr>
      <w:r>
        <w:rPr>
          <w:color w:val="58595B"/>
          <w:sz w:val="20"/>
          <w:szCs w:val="20"/>
        </w:rPr>
        <w:t>St Francis Xavier</w:t>
      </w:r>
      <w:r>
        <w:rPr>
          <w:color w:val="595959"/>
          <w:sz w:val="21"/>
          <w:szCs w:val="21"/>
        </w:rPr>
        <w:t xml:space="preserve"> is a school which operates with the consent of the Catholic Archbishop of Melbourne and is owned, operated and governed by Melbourne Archdiocese Catholic Schools Ltd (MACS)</w:t>
      </w:r>
      <w:r>
        <w:rPr>
          <w:color w:val="595959"/>
          <w:sz w:val="21"/>
          <w:szCs w:val="21"/>
        </w:rPr>
        <w:t>.</w:t>
      </w:r>
      <w:r>
        <w:rPr>
          <w:color w:val="595959"/>
          <w:sz w:val="21"/>
          <w:szCs w:val="21"/>
        </w:rPr>
        <w:t xml:space="preserve"> </w:t>
      </w:r>
    </w:p>
    <w:p w14:paraId="53DF50D4" w14:textId="77777777" w:rsidR="00900888" w:rsidRDefault="0020277F">
      <w:pPr>
        <w:pStyle w:val="Heading3"/>
        <w:ind w:left="426" w:hanging="426"/>
      </w:pPr>
      <w:r>
        <w:t xml:space="preserve">1. </w:t>
      </w:r>
      <w:r>
        <w:tab/>
        <w:t>Eligibility for Concessional School Fees</w:t>
      </w:r>
    </w:p>
    <w:p w14:paraId="392CAFE8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1.1 </w:t>
      </w:r>
      <w:r>
        <w:rPr>
          <w:color w:val="595959"/>
          <w:sz w:val="21"/>
          <w:szCs w:val="21"/>
        </w:rPr>
        <w:tab/>
        <w:t>The following families are str</w:t>
      </w:r>
      <w:r>
        <w:rPr>
          <w:color w:val="595959"/>
          <w:sz w:val="21"/>
          <w:szCs w:val="21"/>
        </w:rPr>
        <w:t>ongly encouraged to apply for concessional school fees:</w:t>
      </w:r>
    </w:p>
    <w:p w14:paraId="0265176D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Any family of Aboriginal or Torres Strait Islander heritage.</w:t>
      </w:r>
    </w:p>
    <w:p w14:paraId="7B40504A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bookmarkStart w:id="1" w:name="_1fob9te" w:colFirst="0" w:colLast="0"/>
      <w:bookmarkEnd w:id="1"/>
      <w:r>
        <w:rPr>
          <w:color w:val="595959"/>
          <w:sz w:val="21"/>
          <w:szCs w:val="21"/>
        </w:rPr>
        <w:t>Any family holding an HCC and eligible for CSEF.</w:t>
      </w:r>
    </w:p>
    <w:p w14:paraId="6D5520B7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Any family experiencing severe financial hardship.</w:t>
      </w:r>
    </w:p>
    <w:p w14:paraId="75D50ABB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Any family holding a DVA Gold Card.</w:t>
      </w:r>
    </w:p>
    <w:p w14:paraId="0909AAB0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Any family identified as refugees and holding an </w:t>
      </w:r>
      <w:proofErr w:type="spellStart"/>
      <w:r>
        <w:rPr>
          <w:color w:val="595959"/>
          <w:sz w:val="21"/>
          <w:szCs w:val="21"/>
        </w:rPr>
        <w:t>ImmiCard</w:t>
      </w:r>
      <w:proofErr w:type="spellEnd"/>
      <w:r>
        <w:rPr>
          <w:color w:val="595959"/>
          <w:sz w:val="21"/>
          <w:szCs w:val="21"/>
        </w:rPr>
        <w:t>.</w:t>
      </w:r>
    </w:p>
    <w:p w14:paraId="52E5D410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Any family required to relocate their (Australian resident) child to St. Michael’s Catholic Primary School, No</w:t>
      </w:r>
      <w:r>
        <w:rPr>
          <w:color w:val="595959"/>
          <w:sz w:val="21"/>
          <w:szCs w:val="21"/>
        </w:rPr>
        <w:t>rth Melbourne, due to the child requiring long term medical treatment at The Royal Children’s Hospital, Melbourne. Pro-rata concession is provided for part-year attendance. An annual statutory declaration is required to confirm eligibility.</w:t>
      </w:r>
    </w:p>
    <w:p w14:paraId="56055782" w14:textId="77777777" w:rsidR="00900888" w:rsidRDefault="002027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HSS who attend </w:t>
      </w:r>
      <w:r>
        <w:rPr>
          <w:color w:val="595959"/>
          <w:sz w:val="21"/>
          <w:szCs w:val="21"/>
        </w:rPr>
        <w:t>a MACS primary school on a part time basis, who meet any of the criteria detailed above.</w:t>
      </w:r>
    </w:p>
    <w:p w14:paraId="25FAED12" w14:textId="77777777" w:rsidR="00900888" w:rsidRDefault="0020277F">
      <w:pPr>
        <w:pStyle w:val="Heading3"/>
        <w:ind w:left="426" w:hanging="426"/>
      </w:pPr>
      <w:r>
        <w:t xml:space="preserve">2. </w:t>
      </w:r>
      <w:r>
        <w:tab/>
        <w:t>Ineligibility for Concessional School Fees</w:t>
      </w:r>
    </w:p>
    <w:p w14:paraId="26659306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2.1 </w:t>
      </w:r>
      <w:r>
        <w:rPr>
          <w:color w:val="595959"/>
          <w:sz w:val="21"/>
          <w:szCs w:val="21"/>
        </w:rPr>
        <w:tab/>
        <w:t>FFPOS or full time HSS are ineligible for the concession as no government funding is available for FFPOS or full ti</w:t>
      </w:r>
      <w:r>
        <w:rPr>
          <w:color w:val="595959"/>
          <w:sz w:val="21"/>
          <w:szCs w:val="21"/>
        </w:rPr>
        <w:t>me HSS.</w:t>
      </w:r>
    </w:p>
    <w:p w14:paraId="21C60B99" w14:textId="77777777" w:rsidR="00900888" w:rsidRDefault="0020277F">
      <w:pPr>
        <w:pStyle w:val="Heading3"/>
        <w:ind w:left="426" w:hanging="426"/>
      </w:pPr>
      <w:r>
        <w:t xml:space="preserve">3. </w:t>
      </w:r>
      <w:r>
        <w:tab/>
        <w:t>Concessional School Fees for Eligible Students</w:t>
      </w:r>
    </w:p>
    <w:p w14:paraId="45B7ABD2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3.1 </w:t>
      </w:r>
      <w:r>
        <w:rPr>
          <w:color w:val="595959"/>
          <w:sz w:val="21"/>
          <w:szCs w:val="21"/>
        </w:rPr>
        <w:tab/>
        <w:t>Students of eligible families are entitled to concessional school fees.</w:t>
      </w:r>
    </w:p>
    <w:p w14:paraId="32477CD1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3.2 </w:t>
      </w:r>
      <w:r>
        <w:rPr>
          <w:color w:val="595959"/>
          <w:sz w:val="21"/>
          <w:szCs w:val="21"/>
        </w:rPr>
        <w:tab/>
        <w:t>The school fee for eligible students is:</w:t>
      </w:r>
    </w:p>
    <w:p w14:paraId="7B8C3C7B" w14:textId="77777777" w:rsidR="00900888" w:rsidRDefault="00202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425"/>
      </w:pPr>
      <w:r>
        <w:rPr>
          <w:color w:val="595959"/>
          <w:sz w:val="21"/>
          <w:szCs w:val="21"/>
        </w:rPr>
        <w:t>1 child – $15 per child per week, direct debit ($780 per annum or $195 per term)</w:t>
      </w:r>
    </w:p>
    <w:p w14:paraId="4DF943BA" w14:textId="77777777" w:rsidR="00900888" w:rsidRDefault="00202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425"/>
      </w:pPr>
      <w:r>
        <w:rPr>
          <w:color w:val="595959"/>
          <w:sz w:val="21"/>
          <w:szCs w:val="21"/>
        </w:rPr>
        <w:t>2 children – $23 for the family per week, direct debit ($1,196 per annum, or $299 per term)</w:t>
      </w:r>
    </w:p>
    <w:p w14:paraId="6EA818F3" w14:textId="77777777" w:rsidR="00900888" w:rsidRDefault="00202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425"/>
      </w:pPr>
      <w:r>
        <w:rPr>
          <w:color w:val="595959"/>
          <w:sz w:val="21"/>
          <w:szCs w:val="21"/>
        </w:rPr>
        <w:t>3 + children – $30 for the family per week, direct debit ($1,560 per annum, or</w:t>
      </w:r>
    </w:p>
    <w:p w14:paraId="41D20F13" w14:textId="77777777" w:rsidR="00900888" w:rsidRDefault="002027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240"/>
        <w:ind w:left="851" w:hanging="425"/>
      </w:pPr>
      <w:r>
        <w:rPr>
          <w:color w:val="595959"/>
          <w:sz w:val="21"/>
          <w:szCs w:val="21"/>
        </w:rPr>
        <w:t>$390 per term)</w:t>
      </w:r>
    </w:p>
    <w:p w14:paraId="32991BDA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3.3 </w:t>
      </w:r>
      <w:r>
        <w:rPr>
          <w:color w:val="595959"/>
          <w:sz w:val="21"/>
          <w:szCs w:val="21"/>
        </w:rPr>
        <w:tab/>
        <w:t>The above fees cover both tuition fees and levies.</w:t>
      </w:r>
    </w:p>
    <w:p w14:paraId="36CE4CC4" w14:textId="77777777" w:rsidR="00900888" w:rsidRDefault="0020277F">
      <w:pPr>
        <w:spacing w:before="0" w:after="0"/>
        <w:rPr>
          <w:b/>
          <w:color w:val="00A8D6"/>
          <w:sz w:val="26"/>
          <w:szCs w:val="26"/>
        </w:rPr>
      </w:pPr>
      <w:r>
        <w:br w:type="page"/>
      </w:r>
    </w:p>
    <w:p w14:paraId="2363DB7D" w14:textId="77777777" w:rsidR="00900888" w:rsidRDefault="0020277F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color w:val="00A8D6"/>
        </w:rPr>
      </w:pPr>
      <w:r>
        <w:rPr>
          <w:color w:val="00A8D6"/>
        </w:rPr>
        <w:lastRenderedPageBreak/>
        <w:t>Procedures</w:t>
      </w:r>
    </w:p>
    <w:p w14:paraId="48E80D8C" w14:textId="77777777" w:rsidR="00900888" w:rsidRDefault="0020277F">
      <w:pPr>
        <w:pStyle w:val="Heading3"/>
        <w:ind w:left="426" w:hanging="426"/>
      </w:pPr>
      <w:r>
        <w:t>4.</w:t>
      </w:r>
      <w:r>
        <w:tab/>
        <w:t>Application for Concessional School Fees</w:t>
      </w:r>
    </w:p>
    <w:p w14:paraId="095C841C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4.1 </w:t>
      </w:r>
      <w:r>
        <w:rPr>
          <w:color w:val="595959"/>
          <w:sz w:val="21"/>
          <w:szCs w:val="21"/>
        </w:rPr>
        <w:tab/>
      </w:r>
      <w:r>
        <w:rPr>
          <w:color w:val="595959"/>
          <w:sz w:val="21"/>
          <w:szCs w:val="21"/>
        </w:rPr>
        <w:t xml:space="preserve">Applications for concessional school fees must be made on the </w:t>
      </w:r>
      <w:r>
        <w:rPr>
          <w:color w:val="58595B"/>
          <w:sz w:val="20"/>
          <w:szCs w:val="20"/>
        </w:rPr>
        <w:t xml:space="preserve">St Francis Xavier </w:t>
      </w:r>
      <w:r>
        <w:rPr>
          <w:color w:val="595959"/>
          <w:sz w:val="21"/>
          <w:szCs w:val="21"/>
        </w:rPr>
        <w:t>approved form.</w:t>
      </w:r>
    </w:p>
    <w:p w14:paraId="3D44EE41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4.2 </w:t>
      </w:r>
      <w:r>
        <w:rPr>
          <w:color w:val="595959"/>
          <w:sz w:val="21"/>
          <w:szCs w:val="21"/>
        </w:rPr>
        <w:tab/>
        <w:t>Information provided in support of concessional school fees must be treated in the strictest confidence, in accordance with the School’s Privacy Policy.</w:t>
      </w:r>
    </w:p>
    <w:p w14:paraId="1875036A" w14:textId="77777777" w:rsidR="00900888" w:rsidRDefault="0020277F">
      <w:pPr>
        <w:pStyle w:val="Heading3"/>
        <w:ind w:left="426" w:hanging="426"/>
      </w:pPr>
      <w:r>
        <w:t xml:space="preserve">5. </w:t>
      </w:r>
      <w:r>
        <w:tab/>
        <w:t>Successful Applications for Concessional School Fees</w:t>
      </w:r>
    </w:p>
    <w:p w14:paraId="5C10BE24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5.1 </w:t>
      </w:r>
      <w:r>
        <w:rPr>
          <w:color w:val="595959"/>
          <w:sz w:val="21"/>
          <w:szCs w:val="21"/>
        </w:rPr>
        <w:tab/>
        <w:t xml:space="preserve">The Principal of </w:t>
      </w:r>
      <w:r>
        <w:rPr>
          <w:color w:val="58595B"/>
          <w:sz w:val="20"/>
          <w:szCs w:val="20"/>
        </w:rPr>
        <w:t xml:space="preserve">St Francis Xavier </w:t>
      </w:r>
      <w:r>
        <w:rPr>
          <w:color w:val="595959"/>
          <w:sz w:val="21"/>
          <w:szCs w:val="21"/>
        </w:rPr>
        <w:t>is delegated the authority to approve concessional school fees,</w:t>
      </w:r>
    </w:p>
    <w:p w14:paraId="095B539B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5.2 </w:t>
      </w:r>
      <w:r>
        <w:rPr>
          <w:color w:val="595959"/>
          <w:sz w:val="21"/>
          <w:szCs w:val="21"/>
        </w:rPr>
        <w:tab/>
        <w:t xml:space="preserve">When an application for concessional school fees is approved, an automated payment plan must </w:t>
      </w:r>
      <w:r>
        <w:rPr>
          <w:color w:val="595959"/>
          <w:sz w:val="21"/>
          <w:szCs w:val="21"/>
        </w:rPr>
        <w:t xml:space="preserve">be established. Where applicable, the payment plan should be set up through </w:t>
      </w:r>
      <w:proofErr w:type="spellStart"/>
      <w:r>
        <w:rPr>
          <w:color w:val="595959"/>
          <w:sz w:val="21"/>
          <w:szCs w:val="21"/>
        </w:rPr>
        <w:t>CentrePay</w:t>
      </w:r>
      <w:proofErr w:type="spellEnd"/>
      <w:r>
        <w:rPr>
          <w:color w:val="595959"/>
          <w:sz w:val="21"/>
          <w:szCs w:val="21"/>
        </w:rPr>
        <w:t xml:space="preserve"> or via direct credit to the </w:t>
      </w:r>
      <w:proofErr w:type="gramStart"/>
      <w:r>
        <w:rPr>
          <w:color w:val="595959"/>
          <w:sz w:val="21"/>
          <w:szCs w:val="21"/>
        </w:rPr>
        <w:t>School</w:t>
      </w:r>
      <w:proofErr w:type="gramEnd"/>
      <w:r>
        <w:rPr>
          <w:color w:val="595959"/>
          <w:sz w:val="21"/>
          <w:szCs w:val="21"/>
        </w:rPr>
        <w:t>.</w:t>
      </w:r>
    </w:p>
    <w:p w14:paraId="0FA323B3" w14:textId="77777777" w:rsidR="00900888" w:rsidRDefault="0090088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8"/>
          <w:szCs w:val="8"/>
        </w:rPr>
      </w:pPr>
    </w:p>
    <w:p w14:paraId="009D3AF6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5.3 </w:t>
      </w:r>
      <w:r>
        <w:rPr>
          <w:color w:val="595959"/>
          <w:sz w:val="21"/>
          <w:szCs w:val="21"/>
        </w:rPr>
        <w:tab/>
        <w:t xml:space="preserve">When invoicing families for concessional school fees, </w:t>
      </w:r>
      <w:r>
        <w:rPr>
          <w:color w:val="58595B"/>
          <w:sz w:val="20"/>
          <w:szCs w:val="20"/>
        </w:rPr>
        <w:t>St Francis Xavier</w:t>
      </w:r>
      <w:r>
        <w:rPr>
          <w:color w:val="595959"/>
          <w:sz w:val="21"/>
          <w:szCs w:val="21"/>
        </w:rPr>
        <w:t xml:space="preserve"> will invoice school fees and levy in full and then show </w:t>
      </w:r>
      <w:r>
        <w:rPr>
          <w:color w:val="595959"/>
          <w:sz w:val="21"/>
          <w:szCs w:val="21"/>
        </w:rPr>
        <w:t>a fee remission on the invoice so that the invoice total reflects the concessional school fee amount.</w:t>
      </w:r>
    </w:p>
    <w:p w14:paraId="2AEB93EF" w14:textId="77777777" w:rsidR="00900888" w:rsidRDefault="0020277F">
      <w:pPr>
        <w:pStyle w:val="Heading3"/>
        <w:ind w:left="426" w:hanging="426"/>
      </w:pPr>
      <w:r>
        <w:t xml:space="preserve">6. </w:t>
      </w:r>
      <w:r>
        <w:tab/>
        <w:t>Unsuccessful Applications for Concessional School Fees</w:t>
      </w:r>
    </w:p>
    <w:p w14:paraId="2A9703E1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6.1 </w:t>
      </w:r>
      <w:r>
        <w:rPr>
          <w:color w:val="595959"/>
          <w:sz w:val="21"/>
          <w:szCs w:val="21"/>
        </w:rPr>
        <w:tab/>
        <w:t>In the circumstance that a family applies for but does not meet the threshold for a school</w:t>
      </w:r>
      <w:r>
        <w:rPr>
          <w:color w:val="595959"/>
          <w:sz w:val="21"/>
          <w:szCs w:val="21"/>
        </w:rPr>
        <w:t xml:space="preserve"> fee reduction, the </w:t>
      </w:r>
      <w:proofErr w:type="gramStart"/>
      <w:r>
        <w:rPr>
          <w:color w:val="595959"/>
          <w:sz w:val="21"/>
          <w:szCs w:val="21"/>
        </w:rPr>
        <w:t>Principal</w:t>
      </w:r>
      <w:proofErr w:type="gramEnd"/>
      <w:r>
        <w:rPr>
          <w:color w:val="595959"/>
          <w:sz w:val="21"/>
          <w:szCs w:val="21"/>
        </w:rPr>
        <w:t xml:space="preserve"> will work out an appropriate payment plan with the family.</w:t>
      </w:r>
    </w:p>
    <w:p w14:paraId="7E7C9BB9" w14:textId="77777777" w:rsidR="00900888" w:rsidRDefault="0020277F">
      <w:pPr>
        <w:pBdr>
          <w:top w:val="nil"/>
          <w:left w:val="nil"/>
          <w:bottom w:val="nil"/>
          <w:right w:val="nil"/>
          <w:between w:val="nil"/>
        </w:pBdr>
        <w:spacing w:before="0" w:after="240"/>
        <w:ind w:left="426" w:hanging="426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 xml:space="preserve">6.2 </w:t>
      </w:r>
      <w:r>
        <w:rPr>
          <w:color w:val="595959"/>
          <w:sz w:val="21"/>
          <w:szCs w:val="21"/>
        </w:rPr>
        <w:tab/>
        <w:t>Unsuccessful applications for concessional school fees are not entitled to top up grants.</w:t>
      </w:r>
    </w:p>
    <w:p w14:paraId="0D6F0D9F" w14:textId="77777777" w:rsidR="00900888" w:rsidRDefault="00900888"/>
    <w:sectPr w:rsidR="00900888">
      <w:footerReference w:type="even" r:id="rId11"/>
      <w:footerReference w:type="default" r:id="rId12"/>
      <w:pgSz w:w="11900" w:h="16840"/>
      <w:pgMar w:top="1087" w:right="1580" w:bottom="1531" w:left="1531" w:header="709" w:footer="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FC52" w14:textId="77777777" w:rsidR="0020277F" w:rsidRDefault="0020277F">
      <w:pPr>
        <w:spacing w:before="0" w:after="0"/>
      </w:pPr>
      <w:r>
        <w:separator/>
      </w:r>
    </w:p>
  </w:endnote>
  <w:endnote w:type="continuationSeparator" w:id="0">
    <w:p w14:paraId="01E8F206" w14:textId="77777777" w:rsidR="0020277F" w:rsidRDefault="002027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7967" w14:textId="77777777" w:rsidR="00900888" w:rsidRDefault="0020277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 w:val="22"/>
        <w:szCs w:val="22"/>
      </w:rPr>
    </w:pPr>
    <w:r>
      <w:rPr>
        <w:sz w:val="22"/>
        <w:szCs w:val="22"/>
      </w:rPr>
      <w:t xml:space="preserve">[Type </w:t>
    </w:r>
    <w:proofErr w:type="gramStart"/>
    <w:r>
      <w:rPr>
        <w:sz w:val="22"/>
        <w:szCs w:val="22"/>
      </w:rPr>
      <w:t>text][</w:t>
    </w:r>
    <w:proofErr w:type="gramEnd"/>
    <w:r>
      <w:rPr>
        <w:sz w:val="22"/>
        <w:szCs w:val="22"/>
      </w:rPr>
      <w:t>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8539" w14:textId="77777777" w:rsidR="00900888" w:rsidRDefault="0020277F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227"/>
        <w:tab w:val="right" w:pos="8789"/>
      </w:tabs>
      <w:spacing w:before="28" w:after="0"/>
      <w:rPr>
        <w:color w:val="595959"/>
        <w:sz w:val="16"/>
        <w:szCs w:val="16"/>
      </w:rPr>
    </w:pPr>
    <w:r>
      <w:rPr>
        <w:b/>
        <w:color w:val="595959"/>
        <w:sz w:val="16"/>
        <w:szCs w:val="16"/>
      </w:rPr>
      <w:t xml:space="preserve"> MACS Enrolment Framework </w:t>
    </w:r>
    <w:r>
      <w:rPr>
        <w:color w:val="595959"/>
        <w:sz w:val="16"/>
        <w:szCs w:val="16"/>
      </w:rPr>
      <w:t>| Draft | 1 March 2021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2B765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6BF6F47" wp14:editId="691CB907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9618" y="3780000"/>
                        <a:ext cx="56127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561276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7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6F4F" w14:textId="77777777" w:rsidR="0020277F" w:rsidRDefault="0020277F">
      <w:pPr>
        <w:spacing w:before="0" w:after="0"/>
      </w:pPr>
      <w:r>
        <w:separator/>
      </w:r>
    </w:p>
  </w:footnote>
  <w:footnote w:type="continuationSeparator" w:id="0">
    <w:p w14:paraId="7A53C47E" w14:textId="77777777" w:rsidR="0020277F" w:rsidRDefault="002027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79E0"/>
    <w:multiLevelType w:val="multilevel"/>
    <w:tmpl w:val="A6BE6C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526A9B"/>
    <w:multiLevelType w:val="multilevel"/>
    <w:tmpl w:val="2D045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88"/>
    <w:rsid w:val="0020277F"/>
    <w:rsid w:val="002B7650"/>
    <w:rsid w:val="009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7BF74"/>
  <w15:docId w15:val="{0680C35B-428E-204B-B8C1-0D75811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FFFFFF"/>
        <w:sz w:val="32"/>
        <w:szCs w:val="32"/>
        <w:lang w:val="en-US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0" w:line="216" w:lineRule="auto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color w:val="00A8D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color w:val="00A8D6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color w:val="1C92CD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0" w:after="0" w:line="600" w:lineRule="auto"/>
    </w:pPr>
    <w:rPr>
      <w:sz w:val="60"/>
      <w:szCs w:val="60"/>
    </w:rPr>
  </w:style>
  <w:style w:type="paragraph" w:styleId="Subtitle">
    <w:name w:val="Subtitle"/>
    <w:basedOn w:val="Normal"/>
    <w:next w:val="Normal"/>
    <w:uiPriority w:val="11"/>
    <w:qFormat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2021-11-03T05:31:00Z</dcterms:created>
  <dcterms:modified xsi:type="dcterms:W3CDTF">2021-11-03T05:31:00Z</dcterms:modified>
</cp:coreProperties>
</file>